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A24BC" w14:textId="70C3E46B"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00911467">
        <w:rPr>
          <w:rFonts w:ascii="Arial" w:hAnsi="Arial"/>
          <w:b/>
          <w:noProof/>
          <w:sz w:val="24"/>
        </w:rPr>
        <w:t>10</w:t>
      </w:r>
      <w:r w:rsidR="00BE66EB">
        <w:rPr>
          <w:rFonts w:ascii="Arial" w:hAnsi="Arial"/>
          <w:b/>
          <w:noProof/>
          <w:sz w:val="24"/>
        </w:rPr>
        <w:t>3</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r>
      <w:r w:rsidRPr="00D877D1">
        <w:rPr>
          <w:rFonts w:ascii="Arial" w:hAnsi="Arial"/>
          <w:b/>
          <w:i/>
          <w:noProof/>
          <w:sz w:val="28"/>
        </w:rPr>
        <w:t>R4-</w:t>
      </w:r>
      <w:r w:rsidR="00D877D1" w:rsidRPr="00D877D1">
        <w:rPr>
          <w:rFonts w:ascii="Arial" w:hAnsi="Arial"/>
          <w:b/>
          <w:i/>
          <w:noProof/>
          <w:sz w:val="28"/>
        </w:rPr>
        <w:t>220</w:t>
      </w:r>
      <w:r w:rsidR="00DA35AC">
        <w:rPr>
          <w:rFonts w:ascii="Arial" w:hAnsi="Arial"/>
          <w:b/>
          <w:i/>
          <w:noProof/>
          <w:sz w:val="28"/>
        </w:rPr>
        <w:t>9721</w:t>
      </w:r>
    </w:p>
    <w:p w14:paraId="00C000AA" w14:textId="1B6510D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BE66EB">
        <w:rPr>
          <w:rFonts w:ascii="Arial" w:hAnsi="Arial"/>
          <w:b/>
          <w:noProof/>
          <w:sz w:val="24"/>
        </w:rPr>
        <w:t>May 9</w:t>
      </w:r>
      <w:r w:rsidRPr="006B42B9">
        <w:rPr>
          <w:rFonts w:ascii="Arial" w:hAnsi="Arial"/>
          <w:b/>
          <w:noProof/>
          <w:sz w:val="24"/>
        </w:rPr>
        <w:t xml:space="preserve"> – </w:t>
      </w:r>
      <w:r w:rsidR="00BE66EB">
        <w:rPr>
          <w:rFonts w:ascii="Arial" w:hAnsi="Arial"/>
          <w:b/>
          <w:noProof/>
          <w:sz w:val="24"/>
        </w:rPr>
        <w:t>20,</w:t>
      </w:r>
      <w:r w:rsidRPr="006B42B9">
        <w:rPr>
          <w:rFonts w:ascii="Arial" w:hAnsi="Arial"/>
          <w:b/>
          <w:noProof/>
          <w:sz w:val="24"/>
        </w:rPr>
        <w:t xml:space="preserve"> 202</w:t>
      </w:r>
      <w:r w:rsidR="00FB2EE6">
        <w:rPr>
          <w:rFonts w:ascii="Arial" w:hAnsi="Arial"/>
          <w:b/>
          <w:noProof/>
          <w:sz w:val="24"/>
        </w:rPr>
        <w:t>2</w:t>
      </w:r>
    </w:p>
    <w:p w14:paraId="60E62E5B" w14:textId="77777777" w:rsidR="006B42B9" w:rsidRDefault="006B42B9" w:rsidP="00F67398">
      <w:pPr>
        <w:spacing w:after="120"/>
        <w:rPr>
          <w:rFonts w:ascii="Arial" w:hAnsi="Arial" w:cs="Arial"/>
          <w:b/>
          <w:lang w:val="en-US"/>
        </w:rPr>
      </w:pPr>
    </w:p>
    <w:p w14:paraId="798D4687" w14:textId="77777777" w:rsidR="006B42B9" w:rsidRDefault="006B42B9" w:rsidP="00F67398">
      <w:pPr>
        <w:spacing w:after="120"/>
        <w:rPr>
          <w:rFonts w:ascii="Arial" w:hAnsi="Arial" w:cs="Arial"/>
          <w:b/>
          <w:lang w:val="en-US"/>
        </w:rPr>
      </w:pPr>
    </w:p>
    <w:p w14:paraId="3BD79CCF" w14:textId="096CD48A" w:rsidR="001065D9" w:rsidRPr="00A51BCB" w:rsidRDefault="000864E9" w:rsidP="000864E9">
      <w:pPr>
        <w:spacing w:after="120"/>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6B13B6">
        <w:rPr>
          <w:rFonts w:ascii="Arial" w:hAnsi="Arial" w:cs="Arial"/>
          <w:bCs/>
          <w:lang w:val="en-US"/>
        </w:rPr>
        <w:t>, UIC</w:t>
      </w:r>
    </w:p>
    <w:p w14:paraId="59A77D1A" w14:textId="77777777" w:rsidR="0087339C" w:rsidRPr="00E02C7F" w:rsidRDefault="000864E9" w:rsidP="000864E9">
      <w:pPr>
        <w:spacing w:after="120"/>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43D2">
        <w:rPr>
          <w:rFonts w:ascii="Arial" w:hAnsi="Arial" w:cs="Arial"/>
          <w:b/>
          <w:lang w:val="en-US"/>
        </w:rPr>
        <w:t>Synchronization raster design for n100</w:t>
      </w:r>
    </w:p>
    <w:p w14:paraId="0977285D" w14:textId="0605D371" w:rsidR="000864E9" w:rsidRPr="00A0242A" w:rsidRDefault="000864E9" w:rsidP="000864E9">
      <w:pPr>
        <w:spacing w:after="120"/>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46509E">
        <w:rPr>
          <w:rFonts w:ascii="Arial" w:hAnsi="Arial" w:cs="Arial"/>
          <w:bCs/>
          <w:lang w:val="en-US"/>
        </w:rPr>
        <w:t>8</w:t>
      </w:r>
      <w:r w:rsidR="00747567">
        <w:rPr>
          <w:rFonts w:ascii="Arial" w:hAnsi="Arial" w:cs="Arial"/>
          <w:bCs/>
          <w:lang w:val="en-US"/>
        </w:rPr>
        <w:t>.</w:t>
      </w:r>
      <w:r w:rsidR="0046509E">
        <w:rPr>
          <w:rFonts w:ascii="Arial" w:hAnsi="Arial" w:cs="Arial"/>
          <w:bCs/>
          <w:lang w:val="en-US"/>
        </w:rPr>
        <w:t>2</w:t>
      </w:r>
      <w:r w:rsidR="00747567">
        <w:rPr>
          <w:rFonts w:ascii="Arial" w:hAnsi="Arial" w:cs="Arial"/>
          <w:bCs/>
          <w:lang w:val="en-US"/>
        </w:rPr>
        <w:t>.1</w:t>
      </w:r>
    </w:p>
    <w:p w14:paraId="3B542A10" w14:textId="77777777" w:rsidR="000864E9" w:rsidRPr="00A51BCB" w:rsidRDefault="000864E9" w:rsidP="000864E9">
      <w:pPr>
        <w:spacing w:after="120"/>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6DE7D15" w14:textId="77777777" w:rsidR="00904C26" w:rsidRDefault="00904C26" w:rsidP="00904C26">
      <w:pPr>
        <w:rPr>
          <w:lang w:val="en-US"/>
        </w:rPr>
      </w:pPr>
    </w:p>
    <w:p w14:paraId="40715D3B" w14:textId="594000C4" w:rsidR="00904C26" w:rsidRPr="00747567" w:rsidRDefault="00747567" w:rsidP="0067331E">
      <w:pPr>
        <w:pStyle w:val="Heading2Head2A2"/>
        <w:numPr>
          <w:ilvl w:val="0"/>
          <w:numId w:val="31"/>
        </w:numPr>
        <w:ind w:left="357" w:hanging="357"/>
        <w:rPr>
          <w:color w:val="auto"/>
          <w:sz w:val="40"/>
          <w:szCs w:val="24"/>
        </w:rPr>
      </w:pPr>
      <w:r>
        <w:rPr>
          <w:color w:val="auto"/>
          <w:sz w:val="40"/>
          <w:szCs w:val="24"/>
        </w:rPr>
        <w:t xml:space="preserve"> </w:t>
      </w:r>
      <w:r w:rsidR="00904C26" w:rsidRPr="00747567">
        <w:rPr>
          <w:color w:val="auto"/>
          <w:sz w:val="40"/>
          <w:szCs w:val="24"/>
        </w:rPr>
        <w:t>Introduction</w:t>
      </w:r>
    </w:p>
    <w:p w14:paraId="581268AA" w14:textId="77777777" w:rsidR="00B8318B" w:rsidRPr="00F50CA4" w:rsidRDefault="009A43D2" w:rsidP="00B8318B">
      <w:pPr>
        <w:tabs>
          <w:tab w:val="left" w:pos="7935"/>
        </w:tabs>
        <w:rPr>
          <w:lang w:val="en-US"/>
        </w:rPr>
      </w:pPr>
      <w:r>
        <w:rPr>
          <w:rFonts w:eastAsia="Batang"/>
          <w:lang w:eastAsia="ko-KR"/>
        </w:rPr>
        <w:t xml:space="preserve">In </w:t>
      </w:r>
      <w:r w:rsidR="00B8318B">
        <w:rPr>
          <w:rFonts w:eastAsia="Batang"/>
          <w:lang w:eastAsia="ko-KR"/>
        </w:rPr>
        <w:t>RAN4#101</w:t>
      </w:r>
      <w:r>
        <w:rPr>
          <w:rFonts w:eastAsia="Batang"/>
          <w:lang w:eastAsia="ko-KR"/>
        </w:rPr>
        <w:t>-bis</w:t>
      </w:r>
      <w:r w:rsidR="00B8318B">
        <w:rPr>
          <w:rFonts w:eastAsia="Batang"/>
          <w:lang w:eastAsia="ko-KR"/>
        </w:rPr>
        <w:t xml:space="preserve">-e meeting </w:t>
      </w:r>
      <w:r>
        <w:rPr>
          <w:rFonts w:eastAsia="Batang"/>
          <w:lang w:eastAsia="ko-KR"/>
        </w:rPr>
        <w:t xml:space="preserve">a potential forward compatibility issue for synchronization raster in n100 was raised. In this contribution we provide analysis for this issue and </w:t>
      </w:r>
      <w:r w:rsidRPr="006B13B6">
        <w:rPr>
          <w:rFonts w:eastAsia="Batang"/>
          <w:lang w:eastAsia="ko-KR"/>
        </w:rPr>
        <w:t>propose how to define synchronization</w:t>
      </w:r>
      <w:r>
        <w:rPr>
          <w:rFonts w:eastAsia="Batang"/>
          <w:lang w:eastAsia="ko-KR"/>
        </w:rPr>
        <w:t xml:space="preserve"> raster for n100.</w:t>
      </w:r>
    </w:p>
    <w:p w14:paraId="55461F7E" w14:textId="58F8BB8D" w:rsidR="00904C26" w:rsidRPr="00747567" w:rsidRDefault="00747567" w:rsidP="0067331E">
      <w:pPr>
        <w:pStyle w:val="Heading2Head2A2"/>
        <w:numPr>
          <w:ilvl w:val="0"/>
          <w:numId w:val="31"/>
        </w:numPr>
        <w:ind w:left="357" w:hanging="357"/>
        <w:rPr>
          <w:color w:val="auto"/>
          <w:sz w:val="40"/>
          <w:szCs w:val="24"/>
        </w:rPr>
      </w:pPr>
      <w:r>
        <w:rPr>
          <w:color w:val="auto"/>
          <w:sz w:val="40"/>
          <w:szCs w:val="24"/>
        </w:rPr>
        <w:t xml:space="preserve"> </w:t>
      </w:r>
      <w:r w:rsidR="007F6156" w:rsidRPr="00747567">
        <w:rPr>
          <w:color w:val="auto"/>
          <w:sz w:val="40"/>
          <w:szCs w:val="24"/>
        </w:rPr>
        <w:t>Discussion</w:t>
      </w:r>
    </w:p>
    <w:p w14:paraId="7E330787" w14:textId="34A8D6FD" w:rsidR="00B8318B" w:rsidRDefault="002474E0" w:rsidP="00B8318B">
      <w:pPr>
        <w:tabs>
          <w:tab w:val="left" w:pos="7935"/>
        </w:tabs>
        <w:rPr>
          <w:rFonts w:eastAsia="Batang"/>
          <w:lang w:eastAsia="ko-KR"/>
        </w:rPr>
      </w:pPr>
      <w:r>
        <w:rPr>
          <w:rFonts w:eastAsia="Batang"/>
          <w:lang w:eastAsia="ko-KR"/>
        </w:rPr>
        <w:t xml:space="preserve">As described in Work Item Description [1] operating bandwidth for the narrowband NR is ranging from </w:t>
      </w:r>
      <w:r>
        <w:rPr>
          <w:iCs/>
          <w:lang w:val="en-US" w:eastAsia="zh-CN"/>
        </w:rPr>
        <w:t xml:space="preserve">approximately 3 MHz up to below 5 MHz: </w:t>
      </w:r>
    </w:p>
    <w:tbl>
      <w:tblPr>
        <w:tblStyle w:val="TableGrid"/>
        <w:tblW w:w="0" w:type="auto"/>
        <w:tblLook w:val="04A0" w:firstRow="1" w:lastRow="0" w:firstColumn="1" w:lastColumn="0" w:noHBand="0" w:noVBand="1"/>
      </w:tblPr>
      <w:tblGrid>
        <w:gridCol w:w="9621"/>
      </w:tblGrid>
      <w:tr w:rsidR="002474E0" w14:paraId="5CAA1FC6" w14:textId="77777777" w:rsidTr="002474E0">
        <w:tc>
          <w:tcPr>
            <w:tcW w:w="9771" w:type="dxa"/>
          </w:tcPr>
          <w:p w14:paraId="334657BA" w14:textId="77777777" w:rsidR="002474E0" w:rsidRDefault="002474E0" w:rsidP="002474E0">
            <w:pPr>
              <w:rPr>
                <w:iCs/>
                <w:lang w:val="en-US" w:eastAsia="zh-CN"/>
              </w:rPr>
            </w:pPr>
            <w:r>
              <w:rPr>
                <w:iCs/>
                <w:lang w:val="en-US" w:eastAsia="zh-CN"/>
              </w:rPr>
              <w:t>The following objectives shall be included for dedicated FDD spectrum in FR1:</w:t>
            </w:r>
          </w:p>
          <w:p w14:paraId="2CA051F0" w14:textId="77777777" w:rsidR="002474E0" w:rsidRDefault="002474E0" w:rsidP="002474E0">
            <w:pPr>
              <w:overflowPunct/>
              <w:autoSpaceDE/>
              <w:autoSpaceDN/>
              <w:adjustRightInd/>
              <w:spacing w:after="160" w:line="256" w:lineRule="auto"/>
              <w:textAlignment w:val="auto"/>
              <w:rPr>
                <w:iCs/>
                <w:lang w:val="en-US" w:eastAsia="zh-CN"/>
              </w:rPr>
            </w:pPr>
            <w:r>
              <w:rPr>
                <w:iCs/>
                <w:lang w:val="en-US" w:eastAsia="zh-CN"/>
              </w:rPr>
              <w:t>Identify and specify necessary changes to NR physical layer with minimum specification impact to operate in spectrum allocations from approximately 3 MHz up to below 5 MHz [RAN1]:</w:t>
            </w:r>
          </w:p>
          <w:p w14:paraId="1D743616" w14:textId="77777777" w:rsidR="002474E0" w:rsidRPr="002474E0" w:rsidRDefault="002474E0" w:rsidP="002474E0">
            <w:pPr>
              <w:numPr>
                <w:ilvl w:val="1"/>
                <w:numId w:val="0"/>
              </w:numPr>
              <w:overflowPunct/>
              <w:autoSpaceDE/>
              <w:autoSpaceDN/>
              <w:adjustRightInd/>
              <w:spacing w:after="160" w:line="256" w:lineRule="auto"/>
              <w:textAlignment w:val="auto"/>
              <w:rPr>
                <w:lang w:eastAsia="zh-CN"/>
              </w:rPr>
            </w:pPr>
            <w:r>
              <w:rPr>
                <w:lang w:eastAsia="zh-CN"/>
              </w:rPr>
              <w:t>Restrict to subcarrier spacing of 15kHz and the use of normal cyclic prefix.</w:t>
            </w:r>
          </w:p>
          <w:p w14:paraId="0E4BB1ED" w14:textId="77777777" w:rsidR="002474E0" w:rsidRDefault="002474E0" w:rsidP="002474E0">
            <w:pPr>
              <w:numPr>
                <w:ilvl w:val="1"/>
                <w:numId w:val="0"/>
              </w:numPr>
              <w:overflowPunct/>
              <w:autoSpaceDE/>
              <w:autoSpaceDN/>
              <w:adjustRightInd/>
              <w:spacing w:after="160" w:line="256" w:lineRule="auto"/>
              <w:textAlignment w:val="auto"/>
              <w:rPr>
                <w:iCs/>
                <w:lang w:val="en-US" w:eastAsia="zh-CN"/>
              </w:rPr>
            </w:pPr>
            <w:r>
              <w:rPr>
                <w:lang w:eastAsia="zh-CN"/>
              </w:rPr>
              <w:t>For SSB:</w:t>
            </w:r>
          </w:p>
          <w:p w14:paraId="08F592F7" w14:textId="559E368E" w:rsidR="002474E0" w:rsidRPr="002474E0" w:rsidRDefault="002474E0" w:rsidP="002474E0">
            <w:pPr>
              <w:numPr>
                <w:ilvl w:val="2"/>
                <w:numId w:val="0"/>
              </w:numPr>
              <w:overflowPunct/>
              <w:autoSpaceDE/>
              <w:autoSpaceDN/>
              <w:adjustRightInd/>
              <w:spacing w:after="160" w:line="256" w:lineRule="auto"/>
              <w:textAlignment w:val="auto"/>
              <w:rPr>
                <w:iCs/>
                <w:lang w:val="en-US" w:eastAsia="zh-CN"/>
              </w:rPr>
            </w:pPr>
            <w:r w:rsidRPr="002474E0">
              <w:rPr>
                <w:highlight w:val="yellow"/>
                <w:lang w:eastAsia="zh-CN"/>
              </w:rPr>
              <w:t>Reuse PSS/SSS specification without puncturing</w:t>
            </w:r>
            <w:r>
              <w:rPr>
                <w:lang w:eastAsia="zh-CN"/>
              </w:rPr>
              <w:t>.</w:t>
            </w:r>
          </w:p>
          <w:p w14:paraId="27EBF849" w14:textId="77777777" w:rsidR="002474E0" w:rsidRPr="002474E0" w:rsidRDefault="002474E0" w:rsidP="002474E0">
            <w:pPr>
              <w:numPr>
                <w:ilvl w:val="2"/>
                <w:numId w:val="0"/>
              </w:numPr>
              <w:overflowPunct/>
              <w:autoSpaceDE/>
              <w:autoSpaceDN/>
              <w:adjustRightInd/>
              <w:spacing w:after="160" w:line="256" w:lineRule="auto"/>
              <w:textAlignment w:val="auto"/>
              <w:rPr>
                <w:rFonts w:eastAsia="Batang"/>
                <w:lang w:eastAsia="ko-KR"/>
              </w:rPr>
            </w:pPr>
            <w:r>
              <w:rPr>
                <w:lang w:eastAsia="zh-CN"/>
              </w:rPr>
              <w:t>PBCH based on current design</w:t>
            </w:r>
          </w:p>
          <w:p w14:paraId="4F6E7C79" w14:textId="4C26D96F" w:rsidR="002474E0" w:rsidRDefault="002474E0" w:rsidP="002474E0">
            <w:pPr>
              <w:overflowPunct/>
              <w:autoSpaceDE/>
              <w:autoSpaceDN/>
              <w:adjustRightInd/>
              <w:spacing w:after="160" w:line="256" w:lineRule="auto"/>
              <w:textAlignment w:val="auto"/>
              <w:rPr>
                <w:rFonts w:eastAsia="Batang"/>
                <w:lang w:eastAsia="ko-KR"/>
              </w:rPr>
            </w:pPr>
            <w:r>
              <w:rPr>
                <w:rFonts w:eastAsia="Batang"/>
                <w:lang w:eastAsia="ko-KR"/>
              </w:rPr>
              <w:t>…</w:t>
            </w:r>
          </w:p>
        </w:tc>
      </w:tr>
    </w:tbl>
    <w:p w14:paraId="259456B7" w14:textId="6A6D4EE9" w:rsidR="002474E0" w:rsidRDefault="002474E0" w:rsidP="00B8318B">
      <w:pPr>
        <w:tabs>
          <w:tab w:val="left" w:pos="7935"/>
        </w:tabs>
        <w:rPr>
          <w:rFonts w:eastAsia="Batang"/>
          <w:lang w:eastAsia="ko-KR"/>
        </w:rPr>
      </w:pPr>
    </w:p>
    <w:p w14:paraId="7E793ED2" w14:textId="2B57D2AC" w:rsidR="002474E0" w:rsidRDefault="002474E0" w:rsidP="00B8318B">
      <w:pPr>
        <w:tabs>
          <w:tab w:val="left" w:pos="7935"/>
        </w:tabs>
        <w:rPr>
          <w:rFonts w:eastAsia="Batang"/>
          <w:lang w:eastAsia="ko-KR"/>
        </w:rPr>
      </w:pPr>
      <w:r>
        <w:rPr>
          <w:rFonts w:eastAsia="Batang"/>
          <w:lang w:eastAsia="ko-KR"/>
        </w:rPr>
        <w:t>Furthermore, since the operating bandwidth may</w:t>
      </w:r>
      <w:r w:rsidR="006B13B6">
        <w:rPr>
          <w:rFonts w:eastAsia="Batang"/>
          <w:lang w:eastAsia="ko-KR"/>
        </w:rPr>
        <w:t xml:space="preserve"> </w:t>
      </w:r>
      <w:r>
        <w:rPr>
          <w:rFonts w:eastAsia="Batang"/>
          <w:lang w:eastAsia="ko-KR"/>
        </w:rPr>
        <w:t xml:space="preserve">be smaller than the bandwidth of an SSB, puncturing of the SSB is needed. However, the principle for the puncturing </w:t>
      </w:r>
      <w:r w:rsidR="002D0AE2">
        <w:rPr>
          <w:rFonts w:eastAsia="Batang"/>
          <w:lang w:eastAsia="ko-KR"/>
        </w:rPr>
        <w:t xml:space="preserve">of </w:t>
      </w:r>
      <w:r>
        <w:rPr>
          <w:rFonts w:eastAsia="Batang"/>
          <w:lang w:eastAsia="ko-KR"/>
        </w:rPr>
        <w:t>the SSB is that PSS/SSS are not punctured as also stated in the WID.</w:t>
      </w:r>
    </w:p>
    <w:p w14:paraId="6BDAC9E9" w14:textId="70146077" w:rsidR="002474E0" w:rsidRDefault="002474E0" w:rsidP="00B8318B">
      <w:pPr>
        <w:tabs>
          <w:tab w:val="left" w:pos="7935"/>
        </w:tabs>
        <w:rPr>
          <w:rFonts w:eastAsia="Batang"/>
          <w:lang w:eastAsia="ko-KR"/>
        </w:rPr>
      </w:pPr>
      <w:r w:rsidRPr="002474E0">
        <w:rPr>
          <w:rFonts w:eastAsia="Batang"/>
          <w:lang w:eastAsia="ko-KR"/>
        </w:rPr>
        <w:t>The synchronization raster defines the set of frequency positions at which the SSB may be located, thereby setting the frequency positions that need to be searched by the UE for initial cell search. In order to expedite cell search, the synchronization raster is</w:t>
      </w:r>
      <w:r>
        <w:rPr>
          <w:rFonts w:eastAsia="Batang"/>
          <w:lang w:eastAsia="ko-KR"/>
        </w:rPr>
        <w:t xml:space="preserve"> </w:t>
      </w:r>
      <w:r w:rsidR="002D0AE2">
        <w:rPr>
          <w:rFonts w:eastAsia="Batang"/>
          <w:lang w:eastAsia="ko-KR"/>
        </w:rPr>
        <w:t xml:space="preserve">currently </w:t>
      </w:r>
      <w:r>
        <w:rPr>
          <w:rFonts w:eastAsia="Batang"/>
          <w:lang w:eastAsia="ko-KR"/>
        </w:rPr>
        <w:t>designed in NR to be</w:t>
      </w:r>
      <w:r w:rsidRPr="002474E0">
        <w:rPr>
          <w:rFonts w:eastAsia="Batang"/>
          <w:lang w:eastAsia="ko-KR"/>
        </w:rPr>
        <w:t xml:space="preserve"> much sparse</w:t>
      </w:r>
      <w:r w:rsidR="002D0AE2">
        <w:rPr>
          <w:rFonts w:eastAsia="Batang"/>
          <w:lang w:eastAsia="ko-KR"/>
        </w:rPr>
        <w:t>r</w:t>
      </w:r>
      <w:r w:rsidRPr="002474E0">
        <w:rPr>
          <w:rFonts w:eastAsia="Batang"/>
          <w:lang w:eastAsia="ko-KR"/>
        </w:rPr>
        <w:t xml:space="preserve"> than the set of frequency positions on which the carrier may be centred, which</w:t>
      </w:r>
      <w:r>
        <w:rPr>
          <w:rFonts w:eastAsia="Batang"/>
          <w:lang w:eastAsia="ko-KR"/>
        </w:rPr>
        <w:t xml:space="preserve"> is</w:t>
      </w:r>
      <w:r w:rsidRPr="002474E0">
        <w:rPr>
          <w:rFonts w:eastAsia="Batang"/>
          <w:lang w:eastAsia="ko-KR"/>
        </w:rPr>
        <w:t xml:space="preserve"> known as the channel raster. In frequency range 1 (FR1, defined as 410 – 7125 MHz), the channel raster typically has a 100 kHz spacing, but the synchronization raster has a cluster of three raster positions every 1.2 MHz, with the raster positions in each cluster </w:t>
      </w:r>
      <w:r w:rsidR="002D0AE2">
        <w:rPr>
          <w:rFonts w:eastAsia="Batang"/>
          <w:lang w:eastAsia="ko-KR"/>
        </w:rPr>
        <w:t>having frequency offsets of</w:t>
      </w:r>
      <w:r w:rsidR="002D0AE2" w:rsidRPr="002474E0">
        <w:rPr>
          <w:rFonts w:eastAsia="Batang"/>
          <w:lang w:eastAsia="ko-KR"/>
        </w:rPr>
        <w:t xml:space="preserve"> </w:t>
      </w:r>
      <w:r w:rsidRPr="002474E0">
        <w:rPr>
          <w:rFonts w:eastAsia="Batang"/>
          <w:lang w:eastAsia="ko-KR"/>
        </w:rPr>
        <w:t>either 50, 150 or 250 kHz apart</w:t>
      </w:r>
      <w:r w:rsidR="002D0AE2">
        <w:rPr>
          <w:rFonts w:eastAsia="Batang"/>
          <w:lang w:eastAsia="ko-KR"/>
        </w:rPr>
        <w:t xml:space="preserve"> from multiples of 1.2 </w:t>
      </w:r>
      <w:proofErr w:type="spellStart"/>
      <w:r w:rsidR="002D0AE2">
        <w:rPr>
          <w:rFonts w:eastAsia="Batang"/>
          <w:lang w:eastAsia="ko-KR"/>
        </w:rPr>
        <w:t>MHz</w:t>
      </w:r>
      <w:r w:rsidRPr="002474E0">
        <w:rPr>
          <w:rFonts w:eastAsia="Batang"/>
          <w:lang w:eastAsia="ko-KR"/>
        </w:rPr>
        <w:t>.</w:t>
      </w:r>
      <w:proofErr w:type="spellEnd"/>
      <w:r w:rsidRPr="002474E0">
        <w:rPr>
          <w:rFonts w:eastAsia="Batang"/>
          <w:lang w:eastAsia="ko-KR"/>
        </w:rPr>
        <w:t xml:space="preserve"> Now, for an allowed bandwidth of, for example, 3 MHz, and with the principle of not modifying PSS and SSS, the clusters of synchronization raster points need to be separated less than 1.2 MHz, as shown in</w:t>
      </w:r>
      <w:r w:rsidR="00931491">
        <w:rPr>
          <w:rFonts w:eastAsia="Batang"/>
          <w:lang w:eastAsia="ko-KR"/>
        </w:rPr>
        <w:t xml:space="preserve"> </w:t>
      </w:r>
      <w:r w:rsidR="00931491">
        <w:rPr>
          <w:rFonts w:eastAsia="Batang"/>
          <w:color w:val="2B579A"/>
          <w:shd w:val="clear" w:color="auto" w:fill="E6E6E6"/>
          <w:lang w:eastAsia="ko-KR"/>
        </w:rPr>
        <w:fldChar w:fldCharType="begin"/>
      </w:r>
      <w:r w:rsidR="00931491">
        <w:rPr>
          <w:rFonts w:eastAsia="Batang"/>
          <w:lang w:eastAsia="ko-KR"/>
        </w:rPr>
        <w:instrText xml:space="preserve"> REF _Ref95397739 \h </w:instrText>
      </w:r>
      <w:r w:rsidR="00931491">
        <w:rPr>
          <w:rFonts w:eastAsia="Batang"/>
          <w:color w:val="2B579A"/>
          <w:shd w:val="clear" w:color="auto" w:fill="E6E6E6"/>
          <w:lang w:eastAsia="ko-KR"/>
        </w:rPr>
      </w:r>
      <w:r w:rsidR="00931491">
        <w:rPr>
          <w:rFonts w:eastAsia="Batang"/>
          <w:color w:val="2B579A"/>
          <w:shd w:val="clear" w:color="auto" w:fill="E6E6E6"/>
          <w:lang w:eastAsia="ko-KR"/>
        </w:rPr>
        <w:fldChar w:fldCharType="separate"/>
      </w:r>
      <w:r w:rsidR="00931491">
        <w:t xml:space="preserve">Figure </w:t>
      </w:r>
      <w:r w:rsidR="00931491">
        <w:rPr>
          <w:noProof/>
        </w:rPr>
        <w:t>1</w:t>
      </w:r>
      <w:r w:rsidR="00931491">
        <w:rPr>
          <w:rFonts w:eastAsia="Batang"/>
          <w:color w:val="2B579A"/>
          <w:shd w:val="clear" w:color="auto" w:fill="E6E6E6"/>
          <w:lang w:eastAsia="ko-KR"/>
        </w:rPr>
        <w:fldChar w:fldCharType="end"/>
      </w:r>
      <w:r w:rsidRPr="002474E0">
        <w:rPr>
          <w:rFonts w:eastAsia="Batang"/>
          <w:lang w:eastAsia="ko-KR"/>
        </w:rPr>
        <w:t xml:space="preserve">. In this figure, two channels of 3 MHz bandwidth separated by 100 kHz are shown. The synchronization raster </w:t>
      </w:r>
      <w:r w:rsidR="00931491">
        <w:rPr>
          <w:rFonts w:eastAsia="Batang"/>
          <w:lang w:eastAsia="ko-KR"/>
        </w:rPr>
        <w:t>may</w:t>
      </w:r>
      <w:r w:rsidRPr="002474E0">
        <w:rPr>
          <w:rFonts w:eastAsia="Batang"/>
          <w:lang w:eastAsia="ko-KR"/>
        </w:rPr>
        <w:t xml:space="preserve"> therefore</w:t>
      </w:r>
      <w:r>
        <w:rPr>
          <w:rFonts w:eastAsia="Batang"/>
          <w:lang w:eastAsia="ko-KR"/>
        </w:rPr>
        <w:t xml:space="preserve"> </w:t>
      </w:r>
      <w:r w:rsidRPr="002474E0">
        <w:rPr>
          <w:rFonts w:eastAsia="Batang"/>
          <w:lang w:eastAsia="ko-KR"/>
        </w:rPr>
        <w:t xml:space="preserve">need </w:t>
      </w:r>
      <w:r w:rsidR="002D0AE2">
        <w:rPr>
          <w:rFonts w:eastAsia="Batang"/>
          <w:lang w:eastAsia="ko-KR"/>
        </w:rPr>
        <w:t xml:space="preserve">a </w:t>
      </w:r>
      <w:r w:rsidRPr="002474E0">
        <w:rPr>
          <w:rFonts w:eastAsia="Batang"/>
          <w:lang w:eastAsia="ko-KR"/>
        </w:rPr>
        <w:t>redesign for narrowband NR operation.</w:t>
      </w:r>
    </w:p>
    <w:p w14:paraId="2FBB1BC4" w14:textId="19B37E20" w:rsidR="002474E0" w:rsidRDefault="00E37F04" w:rsidP="002474E0">
      <w:pPr>
        <w:tabs>
          <w:tab w:val="left" w:pos="7935"/>
        </w:tabs>
        <w:jc w:val="center"/>
        <w:rPr>
          <w:rFonts w:eastAsia="Batang"/>
          <w:lang w:eastAsia="ko-KR"/>
        </w:rPr>
      </w:pPr>
      <w:r>
        <w:rPr>
          <w:rFonts w:eastAsia="Batang"/>
          <w:noProof/>
          <w:color w:val="2B579A"/>
          <w:shd w:val="clear" w:color="auto" w:fill="E6E6E6"/>
          <w:lang w:eastAsia="ko-KR"/>
        </w:rPr>
        <w:lastRenderedPageBreak/>
        <w:drawing>
          <wp:inline distT="0" distB="0" distL="0" distR="0" wp14:anchorId="61641E2F" wp14:editId="224705BA">
            <wp:extent cx="4316095"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6095" cy="3359150"/>
                    </a:xfrm>
                    <a:prstGeom prst="rect">
                      <a:avLst/>
                    </a:prstGeom>
                    <a:noFill/>
                  </pic:spPr>
                </pic:pic>
              </a:graphicData>
            </a:graphic>
          </wp:inline>
        </w:drawing>
      </w:r>
    </w:p>
    <w:p w14:paraId="31AB923D" w14:textId="0B0204BF" w:rsidR="002474E0" w:rsidRPr="002B51FC" w:rsidRDefault="002474E0" w:rsidP="002474E0">
      <w:pPr>
        <w:pStyle w:val="Caption"/>
        <w:jc w:val="center"/>
        <w:rPr>
          <w:rFonts w:eastAsia="Batang"/>
          <w:lang w:eastAsia="ko-KR"/>
        </w:rPr>
      </w:pPr>
      <w:bookmarkStart w:id="1" w:name="_Ref95397739"/>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8211D2">
        <w:rPr>
          <w:noProof/>
        </w:rPr>
        <w:t>1</w:t>
      </w:r>
      <w:r>
        <w:rPr>
          <w:color w:val="2B579A"/>
          <w:shd w:val="clear" w:color="auto" w:fill="E6E6E6"/>
        </w:rPr>
        <w:fldChar w:fldCharType="end"/>
      </w:r>
      <w:bookmarkEnd w:id="1"/>
      <w:r>
        <w:t xml:space="preserve"> </w:t>
      </w:r>
      <w:r w:rsidRPr="002474E0">
        <w:t>Synchronization raster consideration for 3 MHz bandwidth.</w:t>
      </w:r>
    </w:p>
    <w:p w14:paraId="06B4AF52" w14:textId="1BA53BB2" w:rsidR="009A43D2" w:rsidRPr="009A43D2" w:rsidRDefault="009A43D2" w:rsidP="009A43D2">
      <w:pPr>
        <w:rPr>
          <w:rFonts w:eastAsia="DengXian"/>
          <w:b/>
          <w:bCs/>
          <w:i/>
          <w:iCs/>
          <w:lang w:val="en-US" w:eastAsia="zh-CN"/>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sidR="00CF6A66">
        <w:rPr>
          <w:b/>
          <w:bCs/>
          <w:i/>
          <w:iCs/>
          <w:lang w:val="en-US"/>
        </w:rPr>
        <w:t xml:space="preserve">In general, </w:t>
      </w:r>
      <w:r w:rsidR="00CF6A66" w:rsidRPr="00CF6A66">
        <w:rPr>
          <w:b/>
          <w:bCs/>
          <w:i/>
          <w:iCs/>
          <w:lang w:val="en-US"/>
        </w:rPr>
        <w:t>for an allowed bandwidth of 3 MHz, and with the principle of not modifying PSS and SSS, the clusters of synchronization raster points need to be separated less than 1.2 MHz</w:t>
      </w:r>
      <w:r w:rsidR="00CF6A66">
        <w:rPr>
          <w:b/>
          <w:bCs/>
          <w:i/>
          <w:iCs/>
          <w:lang w:val="en-US"/>
        </w:rPr>
        <w:t xml:space="preserve"> in order to have at least one valid synchronization raster point for each 3 MHz channel</w:t>
      </w:r>
      <w:r w:rsidR="00AB1DF5">
        <w:rPr>
          <w:b/>
          <w:bCs/>
          <w:i/>
          <w:iCs/>
          <w:lang w:val="en-US"/>
        </w:rPr>
        <w:t xml:space="preserve"> if 100 kHz channel raster is applied</w:t>
      </w:r>
      <w:r w:rsidR="00CF6A66">
        <w:rPr>
          <w:b/>
          <w:bCs/>
          <w:i/>
          <w:iCs/>
          <w:lang w:val="en-US"/>
        </w:rPr>
        <w:t xml:space="preserve">. </w:t>
      </w:r>
    </w:p>
    <w:p w14:paraId="45BEEC85" w14:textId="44BDCB36" w:rsidR="008D5FF0" w:rsidRDefault="008211D2" w:rsidP="00AB1DF5">
      <w:pPr>
        <w:rPr>
          <w:lang w:val="en-US"/>
        </w:rPr>
      </w:pPr>
      <w:r>
        <w:rPr>
          <w:lang w:val="en-US"/>
        </w:rPr>
        <w:t xml:space="preserve">For the analysis of n100 </w:t>
      </w:r>
      <w:r w:rsidR="00AB1DF5">
        <w:rPr>
          <w:lang w:val="en-US"/>
        </w:rPr>
        <w:t>two guard band assumptions</w:t>
      </w:r>
      <w:r w:rsidR="006B13B6">
        <w:rPr>
          <w:lang w:val="en-US"/>
        </w:rPr>
        <w:t xml:space="preserve"> are considered</w:t>
      </w:r>
      <w:r w:rsidR="00AB1DF5">
        <w:rPr>
          <w:lang w:val="en-US"/>
        </w:rPr>
        <w:t>: 150 kHz assuming 3 MHz bandwidth allocation and 242,5 kHz assuming 5 MHz bandwidth allocation, both with 9</w:t>
      </w:r>
      <w:r w:rsidR="00B56277">
        <w:rPr>
          <w:lang w:val="en-US"/>
        </w:rPr>
        <w:t>0</w:t>
      </w:r>
      <w:r w:rsidR="00AB1DF5">
        <w:rPr>
          <w:lang w:val="en-US"/>
        </w:rPr>
        <w:t xml:space="preserve"> % spectrum utilization (SU).</w:t>
      </w:r>
      <w:r w:rsidR="00B44472">
        <w:rPr>
          <w:lang w:val="en-US"/>
        </w:rPr>
        <w:t xml:space="preserve"> </w:t>
      </w:r>
      <w:r w:rsidR="008D5FF0">
        <w:rPr>
          <w:lang w:val="en-US"/>
        </w:rPr>
        <w:t>Valid sync raster points (so that PSS/SSS can be allocated in the band) for n100 based on current sync raster design are:</w:t>
      </w:r>
    </w:p>
    <w:tbl>
      <w:tblPr>
        <w:tblW w:w="4200" w:type="dxa"/>
        <w:jc w:val="center"/>
        <w:tblLook w:val="04A0" w:firstRow="1" w:lastRow="0" w:firstColumn="1" w:lastColumn="0" w:noHBand="0" w:noVBand="1"/>
      </w:tblPr>
      <w:tblGrid>
        <w:gridCol w:w="960"/>
        <w:gridCol w:w="960"/>
        <w:gridCol w:w="1320"/>
        <w:gridCol w:w="960"/>
      </w:tblGrid>
      <w:tr w:rsidR="002D0AE2" w:rsidRPr="002D0AE2" w14:paraId="5473FB04" w14:textId="77777777" w:rsidTr="002D0AE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F3F230B"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N</w:t>
            </w:r>
          </w:p>
        </w:tc>
        <w:tc>
          <w:tcPr>
            <w:tcW w:w="960" w:type="dxa"/>
            <w:tcBorders>
              <w:top w:val="single" w:sz="4" w:space="0" w:color="auto"/>
              <w:left w:val="nil"/>
              <w:bottom w:val="single" w:sz="4" w:space="0" w:color="auto"/>
              <w:right w:val="single" w:sz="4" w:space="0" w:color="auto"/>
            </w:tcBorders>
            <w:shd w:val="clear" w:color="000000" w:fill="AEAAAA"/>
            <w:noWrap/>
            <w:vAlign w:val="bottom"/>
            <w:hideMark/>
          </w:tcPr>
          <w:p w14:paraId="343063B8"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M</w:t>
            </w:r>
          </w:p>
        </w:tc>
        <w:tc>
          <w:tcPr>
            <w:tcW w:w="1320" w:type="dxa"/>
            <w:tcBorders>
              <w:top w:val="single" w:sz="4" w:space="0" w:color="auto"/>
              <w:left w:val="nil"/>
              <w:bottom w:val="single" w:sz="4" w:space="0" w:color="auto"/>
              <w:right w:val="single" w:sz="4" w:space="0" w:color="auto"/>
            </w:tcBorders>
            <w:shd w:val="clear" w:color="000000" w:fill="AEAAAA"/>
            <w:noWrap/>
            <w:vAlign w:val="bottom"/>
            <w:hideMark/>
          </w:tcPr>
          <w:p w14:paraId="3F6E5419" w14:textId="38DDAE6E"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 xml:space="preserve">SS_REF </w:t>
            </w:r>
            <w:r w:rsidR="00DE34FC">
              <w:rPr>
                <w:rFonts w:ascii="Calibri" w:hAnsi="Calibri" w:cs="Calibri"/>
                <w:color w:val="000000"/>
                <w:lang w:val="en-US"/>
              </w:rPr>
              <w:t>[</w:t>
            </w:r>
            <w:r w:rsidRPr="002D0AE2">
              <w:rPr>
                <w:rFonts w:ascii="Calibri" w:hAnsi="Calibri" w:cs="Calibri"/>
                <w:color w:val="000000"/>
                <w:lang w:val="en-US"/>
              </w:rPr>
              <w:t>Hz</w:t>
            </w:r>
            <w:r w:rsidR="00DE34FC">
              <w:rPr>
                <w:rFonts w:ascii="Calibri" w:hAnsi="Calibri" w:cs="Calibri"/>
                <w:color w:val="000000"/>
                <w:lang w:val="en-US"/>
              </w:rPr>
              <w:t>]</w:t>
            </w:r>
          </w:p>
        </w:tc>
        <w:tc>
          <w:tcPr>
            <w:tcW w:w="960" w:type="dxa"/>
            <w:tcBorders>
              <w:top w:val="single" w:sz="4" w:space="0" w:color="auto"/>
              <w:left w:val="nil"/>
              <w:bottom w:val="single" w:sz="4" w:space="0" w:color="auto"/>
              <w:right w:val="single" w:sz="4" w:space="0" w:color="auto"/>
            </w:tcBorders>
            <w:shd w:val="clear" w:color="000000" w:fill="AEAAAA"/>
            <w:noWrap/>
            <w:vAlign w:val="bottom"/>
            <w:hideMark/>
          </w:tcPr>
          <w:p w14:paraId="069D1D26"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GSCN</w:t>
            </w:r>
          </w:p>
        </w:tc>
      </w:tr>
      <w:tr w:rsidR="002D0AE2" w:rsidRPr="002D0AE2" w14:paraId="023E17E9"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1BBD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767</w:t>
            </w:r>
          </w:p>
        </w:tc>
        <w:tc>
          <w:tcPr>
            <w:tcW w:w="960" w:type="dxa"/>
            <w:tcBorders>
              <w:top w:val="nil"/>
              <w:left w:val="nil"/>
              <w:bottom w:val="single" w:sz="4" w:space="0" w:color="auto"/>
              <w:right w:val="single" w:sz="4" w:space="0" w:color="auto"/>
            </w:tcBorders>
            <w:shd w:val="clear" w:color="auto" w:fill="auto"/>
            <w:noWrap/>
            <w:vAlign w:val="bottom"/>
            <w:hideMark/>
          </w:tcPr>
          <w:p w14:paraId="26401CD2"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5</w:t>
            </w:r>
          </w:p>
        </w:tc>
        <w:tc>
          <w:tcPr>
            <w:tcW w:w="1320" w:type="dxa"/>
            <w:tcBorders>
              <w:top w:val="nil"/>
              <w:left w:val="nil"/>
              <w:bottom w:val="single" w:sz="4" w:space="0" w:color="auto"/>
              <w:right w:val="single" w:sz="4" w:space="0" w:color="auto"/>
            </w:tcBorders>
            <w:shd w:val="clear" w:color="auto" w:fill="auto"/>
            <w:noWrap/>
            <w:vAlign w:val="bottom"/>
            <w:hideMark/>
          </w:tcPr>
          <w:p w14:paraId="049E657B"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920650000</w:t>
            </w:r>
          </w:p>
        </w:tc>
        <w:tc>
          <w:tcPr>
            <w:tcW w:w="960" w:type="dxa"/>
            <w:tcBorders>
              <w:top w:val="nil"/>
              <w:left w:val="nil"/>
              <w:bottom w:val="single" w:sz="4" w:space="0" w:color="auto"/>
              <w:right w:val="single" w:sz="4" w:space="0" w:color="auto"/>
            </w:tcBorders>
            <w:shd w:val="clear" w:color="auto" w:fill="auto"/>
            <w:noWrap/>
            <w:vAlign w:val="bottom"/>
            <w:hideMark/>
          </w:tcPr>
          <w:p w14:paraId="4BA7DFB6"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2302</w:t>
            </w:r>
          </w:p>
        </w:tc>
      </w:tr>
      <w:tr w:rsidR="002D0AE2" w:rsidRPr="002D0AE2" w14:paraId="0E4941E0"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27E5B7"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4CA46D6E"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1</w:t>
            </w:r>
          </w:p>
        </w:tc>
        <w:tc>
          <w:tcPr>
            <w:tcW w:w="1320" w:type="dxa"/>
            <w:tcBorders>
              <w:top w:val="nil"/>
              <w:left w:val="nil"/>
              <w:bottom w:val="single" w:sz="4" w:space="0" w:color="auto"/>
              <w:right w:val="single" w:sz="4" w:space="0" w:color="auto"/>
            </w:tcBorders>
            <w:shd w:val="clear" w:color="auto" w:fill="auto"/>
            <w:noWrap/>
            <w:vAlign w:val="bottom"/>
            <w:hideMark/>
          </w:tcPr>
          <w:p w14:paraId="5B06FE8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921650000</w:t>
            </w:r>
          </w:p>
        </w:tc>
        <w:tc>
          <w:tcPr>
            <w:tcW w:w="960" w:type="dxa"/>
            <w:tcBorders>
              <w:top w:val="nil"/>
              <w:left w:val="nil"/>
              <w:bottom w:val="single" w:sz="4" w:space="0" w:color="auto"/>
              <w:right w:val="single" w:sz="4" w:space="0" w:color="auto"/>
            </w:tcBorders>
            <w:shd w:val="clear" w:color="auto" w:fill="auto"/>
            <w:noWrap/>
            <w:vAlign w:val="bottom"/>
            <w:hideMark/>
          </w:tcPr>
          <w:p w14:paraId="365FA4F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2303</w:t>
            </w:r>
          </w:p>
        </w:tc>
      </w:tr>
      <w:tr w:rsidR="002D0AE2" w:rsidRPr="002D0AE2" w14:paraId="438EE126"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70D830"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23226A8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3</w:t>
            </w:r>
          </w:p>
        </w:tc>
        <w:tc>
          <w:tcPr>
            <w:tcW w:w="1320" w:type="dxa"/>
            <w:tcBorders>
              <w:top w:val="nil"/>
              <w:left w:val="nil"/>
              <w:bottom w:val="single" w:sz="4" w:space="0" w:color="auto"/>
              <w:right w:val="single" w:sz="4" w:space="0" w:color="auto"/>
            </w:tcBorders>
            <w:shd w:val="clear" w:color="auto" w:fill="auto"/>
            <w:noWrap/>
            <w:vAlign w:val="bottom"/>
            <w:hideMark/>
          </w:tcPr>
          <w:p w14:paraId="7A5E7724"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921750000</w:t>
            </w:r>
          </w:p>
        </w:tc>
        <w:tc>
          <w:tcPr>
            <w:tcW w:w="960" w:type="dxa"/>
            <w:tcBorders>
              <w:top w:val="nil"/>
              <w:left w:val="nil"/>
              <w:bottom w:val="single" w:sz="4" w:space="0" w:color="auto"/>
              <w:right w:val="single" w:sz="4" w:space="0" w:color="auto"/>
            </w:tcBorders>
            <w:shd w:val="clear" w:color="auto" w:fill="auto"/>
            <w:noWrap/>
            <w:vAlign w:val="bottom"/>
            <w:hideMark/>
          </w:tcPr>
          <w:p w14:paraId="150D8AB4"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2304</w:t>
            </w:r>
          </w:p>
        </w:tc>
      </w:tr>
      <w:tr w:rsidR="002D0AE2" w:rsidRPr="002D0AE2" w14:paraId="42D845B3"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4CC3"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186DCC81"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5</w:t>
            </w:r>
          </w:p>
        </w:tc>
        <w:tc>
          <w:tcPr>
            <w:tcW w:w="1320" w:type="dxa"/>
            <w:tcBorders>
              <w:top w:val="nil"/>
              <w:left w:val="nil"/>
              <w:bottom w:val="single" w:sz="4" w:space="0" w:color="auto"/>
              <w:right w:val="single" w:sz="4" w:space="0" w:color="auto"/>
            </w:tcBorders>
            <w:shd w:val="clear" w:color="auto" w:fill="auto"/>
            <w:noWrap/>
            <w:vAlign w:val="bottom"/>
            <w:hideMark/>
          </w:tcPr>
          <w:p w14:paraId="474B276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921850000</w:t>
            </w:r>
          </w:p>
        </w:tc>
        <w:tc>
          <w:tcPr>
            <w:tcW w:w="960" w:type="dxa"/>
            <w:tcBorders>
              <w:top w:val="nil"/>
              <w:left w:val="nil"/>
              <w:bottom w:val="single" w:sz="4" w:space="0" w:color="auto"/>
              <w:right w:val="single" w:sz="4" w:space="0" w:color="auto"/>
            </w:tcBorders>
            <w:shd w:val="clear" w:color="auto" w:fill="auto"/>
            <w:noWrap/>
            <w:vAlign w:val="bottom"/>
            <w:hideMark/>
          </w:tcPr>
          <w:p w14:paraId="2933C9FA"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2305</w:t>
            </w:r>
          </w:p>
        </w:tc>
      </w:tr>
      <w:tr w:rsidR="002D0AE2" w:rsidRPr="002D0AE2" w14:paraId="03569357"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F6C19C"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769</w:t>
            </w:r>
          </w:p>
        </w:tc>
        <w:tc>
          <w:tcPr>
            <w:tcW w:w="960" w:type="dxa"/>
            <w:tcBorders>
              <w:top w:val="nil"/>
              <w:left w:val="nil"/>
              <w:bottom w:val="single" w:sz="4" w:space="0" w:color="auto"/>
              <w:right w:val="single" w:sz="4" w:space="0" w:color="auto"/>
            </w:tcBorders>
            <w:shd w:val="clear" w:color="auto" w:fill="auto"/>
            <w:noWrap/>
            <w:vAlign w:val="bottom"/>
            <w:hideMark/>
          </w:tcPr>
          <w:p w14:paraId="7E6E78DA"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1</w:t>
            </w:r>
          </w:p>
        </w:tc>
        <w:tc>
          <w:tcPr>
            <w:tcW w:w="1320" w:type="dxa"/>
            <w:tcBorders>
              <w:top w:val="nil"/>
              <w:left w:val="nil"/>
              <w:bottom w:val="single" w:sz="4" w:space="0" w:color="auto"/>
              <w:right w:val="single" w:sz="4" w:space="0" w:color="auto"/>
            </w:tcBorders>
            <w:shd w:val="clear" w:color="auto" w:fill="auto"/>
            <w:noWrap/>
            <w:vAlign w:val="bottom"/>
            <w:hideMark/>
          </w:tcPr>
          <w:p w14:paraId="6F1F34B6"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922850000</w:t>
            </w:r>
          </w:p>
        </w:tc>
        <w:tc>
          <w:tcPr>
            <w:tcW w:w="960" w:type="dxa"/>
            <w:tcBorders>
              <w:top w:val="nil"/>
              <w:left w:val="nil"/>
              <w:bottom w:val="single" w:sz="4" w:space="0" w:color="auto"/>
              <w:right w:val="single" w:sz="4" w:space="0" w:color="auto"/>
            </w:tcBorders>
            <w:shd w:val="clear" w:color="auto" w:fill="auto"/>
            <w:noWrap/>
            <w:vAlign w:val="bottom"/>
            <w:hideMark/>
          </w:tcPr>
          <w:p w14:paraId="1B360B27"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2306</w:t>
            </w:r>
          </w:p>
        </w:tc>
      </w:tr>
      <w:tr w:rsidR="002D0AE2" w:rsidRPr="002D0AE2" w14:paraId="71C7CCE7"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5F1E9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769</w:t>
            </w:r>
          </w:p>
        </w:tc>
        <w:tc>
          <w:tcPr>
            <w:tcW w:w="960" w:type="dxa"/>
            <w:tcBorders>
              <w:top w:val="nil"/>
              <w:left w:val="nil"/>
              <w:bottom w:val="single" w:sz="4" w:space="0" w:color="auto"/>
              <w:right w:val="single" w:sz="4" w:space="0" w:color="auto"/>
            </w:tcBorders>
            <w:shd w:val="clear" w:color="auto" w:fill="auto"/>
            <w:noWrap/>
            <w:vAlign w:val="bottom"/>
            <w:hideMark/>
          </w:tcPr>
          <w:p w14:paraId="7B2634B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3</w:t>
            </w:r>
          </w:p>
        </w:tc>
        <w:tc>
          <w:tcPr>
            <w:tcW w:w="1320" w:type="dxa"/>
            <w:tcBorders>
              <w:top w:val="nil"/>
              <w:left w:val="nil"/>
              <w:bottom w:val="single" w:sz="4" w:space="0" w:color="auto"/>
              <w:right w:val="single" w:sz="4" w:space="0" w:color="auto"/>
            </w:tcBorders>
            <w:shd w:val="clear" w:color="auto" w:fill="auto"/>
            <w:noWrap/>
            <w:vAlign w:val="bottom"/>
            <w:hideMark/>
          </w:tcPr>
          <w:p w14:paraId="03C2305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922950000</w:t>
            </w:r>
          </w:p>
        </w:tc>
        <w:tc>
          <w:tcPr>
            <w:tcW w:w="960" w:type="dxa"/>
            <w:tcBorders>
              <w:top w:val="nil"/>
              <w:left w:val="nil"/>
              <w:bottom w:val="single" w:sz="4" w:space="0" w:color="auto"/>
              <w:right w:val="single" w:sz="4" w:space="0" w:color="auto"/>
            </w:tcBorders>
            <w:shd w:val="clear" w:color="auto" w:fill="auto"/>
            <w:noWrap/>
            <w:vAlign w:val="bottom"/>
            <w:hideMark/>
          </w:tcPr>
          <w:p w14:paraId="4BC57935"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2307</w:t>
            </w:r>
          </w:p>
        </w:tc>
      </w:tr>
      <w:tr w:rsidR="002D0AE2" w:rsidRPr="002D0AE2" w14:paraId="6C456C6D"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0CB447"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769</w:t>
            </w:r>
          </w:p>
        </w:tc>
        <w:tc>
          <w:tcPr>
            <w:tcW w:w="960" w:type="dxa"/>
            <w:tcBorders>
              <w:top w:val="nil"/>
              <w:left w:val="nil"/>
              <w:bottom w:val="single" w:sz="4" w:space="0" w:color="auto"/>
              <w:right w:val="single" w:sz="4" w:space="0" w:color="auto"/>
            </w:tcBorders>
            <w:shd w:val="clear" w:color="auto" w:fill="auto"/>
            <w:noWrap/>
            <w:vAlign w:val="bottom"/>
            <w:hideMark/>
          </w:tcPr>
          <w:p w14:paraId="176CD31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5</w:t>
            </w:r>
          </w:p>
        </w:tc>
        <w:tc>
          <w:tcPr>
            <w:tcW w:w="1320" w:type="dxa"/>
            <w:tcBorders>
              <w:top w:val="nil"/>
              <w:left w:val="nil"/>
              <w:bottom w:val="single" w:sz="4" w:space="0" w:color="auto"/>
              <w:right w:val="single" w:sz="4" w:space="0" w:color="auto"/>
            </w:tcBorders>
            <w:shd w:val="clear" w:color="auto" w:fill="auto"/>
            <w:noWrap/>
            <w:vAlign w:val="bottom"/>
            <w:hideMark/>
          </w:tcPr>
          <w:p w14:paraId="44EB2E9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923050000</w:t>
            </w:r>
          </w:p>
        </w:tc>
        <w:tc>
          <w:tcPr>
            <w:tcW w:w="960" w:type="dxa"/>
            <w:tcBorders>
              <w:top w:val="nil"/>
              <w:left w:val="nil"/>
              <w:bottom w:val="single" w:sz="4" w:space="0" w:color="auto"/>
              <w:right w:val="single" w:sz="4" w:space="0" w:color="auto"/>
            </w:tcBorders>
            <w:shd w:val="clear" w:color="auto" w:fill="auto"/>
            <w:noWrap/>
            <w:vAlign w:val="bottom"/>
            <w:hideMark/>
          </w:tcPr>
          <w:p w14:paraId="0D68104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2308</w:t>
            </w:r>
          </w:p>
        </w:tc>
      </w:tr>
    </w:tbl>
    <w:p w14:paraId="3C7DD312" w14:textId="51C0D954" w:rsidR="00AB1DF5" w:rsidRPr="0012100F" w:rsidRDefault="00AB1DF5" w:rsidP="00AB1DF5"/>
    <w:p w14:paraId="72AFCEF6" w14:textId="6FFF8798" w:rsidR="00B44472" w:rsidRDefault="00B44472" w:rsidP="00AB1DF5">
      <w:pPr>
        <w:rPr>
          <w:lang w:val="en-US"/>
        </w:rPr>
      </w:pPr>
      <w:r>
        <w:rPr>
          <w:lang w:val="en-US"/>
        </w:rPr>
        <w:t xml:space="preserve">One can observe that current sync raster design in FR1 does not provide sync raster points in n100 to support </w:t>
      </w:r>
      <w:r w:rsidR="000267D4">
        <w:rPr>
          <w:lang w:val="en-US"/>
        </w:rPr>
        <w:t>narrowband</w:t>
      </w:r>
      <w:r>
        <w:rPr>
          <w:lang w:val="en-US"/>
        </w:rPr>
        <w:t xml:space="preserve"> </w:t>
      </w:r>
      <w:r w:rsidR="006B13B6">
        <w:rPr>
          <w:lang w:val="en-US"/>
        </w:rPr>
        <w:t xml:space="preserve">channel bandwidth </w:t>
      </w:r>
      <w:r>
        <w:rPr>
          <w:lang w:val="en-US"/>
        </w:rPr>
        <w:t>allocation in either of the edges of the band when assuming guard bands of 5 MHz NR allocation</w:t>
      </w:r>
      <w:r w:rsidDel="00A47678">
        <w:rPr>
          <w:lang w:val="en-US"/>
        </w:rPr>
        <w:t>. In addition, when</w:t>
      </w:r>
      <w:r>
        <w:rPr>
          <w:lang w:val="en-US"/>
        </w:rPr>
        <w:t xml:space="preserve"> assuming guard bands </w:t>
      </w:r>
      <w:r w:rsidR="00436D64">
        <w:rPr>
          <w:lang w:val="en-US"/>
        </w:rPr>
        <w:t>necessary for</w:t>
      </w:r>
      <w:r>
        <w:rPr>
          <w:lang w:val="en-US"/>
        </w:rPr>
        <w:t xml:space="preserve"> 3 MHz NR allocation (</w:t>
      </w:r>
      <w:r w:rsidR="00436D64">
        <w:rPr>
          <w:lang w:val="en-US"/>
        </w:rPr>
        <w:t xml:space="preserve">e.g., </w:t>
      </w:r>
      <w:r w:rsidR="00D10FB2">
        <w:rPr>
          <w:lang w:val="en-US"/>
        </w:rPr>
        <w:t xml:space="preserve"> 142.5 </w:t>
      </w:r>
      <w:r>
        <w:rPr>
          <w:lang w:val="en-US"/>
        </w:rPr>
        <w:t xml:space="preserve">kHz guard) PSS/SSS can be allocated only in the lower part of the n100 band. Thus, a new design would </w:t>
      </w:r>
      <w:r w:rsidR="008211D2">
        <w:rPr>
          <w:lang w:val="en-US"/>
        </w:rPr>
        <w:t xml:space="preserve">be needed for </w:t>
      </w:r>
      <w:r w:rsidR="002C285F">
        <w:rPr>
          <w:lang w:val="en-US"/>
        </w:rPr>
        <w:t xml:space="preserve">n100 </w:t>
      </w:r>
      <w:r w:rsidR="008211D2">
        <w:rPr>
          <w:lang w:val="en-US"/>
        </w:rPr>
        <w:t xml:space="preserve">sync raster in order to support </w:t>
      </w:r>
      <w:r w:rsidR="000267D4">
        <w:rPr>
          <w:lang w:val="en-US"/>
        </w:rPr>
        <w:t>narrowband</w:t>
      </w:r>
      <w:r w:rsidR="008211D2">
        <w:rPr>
          <w:lang w:val="en-US"/>
        </w:rPr>
        <w:t xml:space="preserve"> NR allocation in both ends of the band.</w:t>
      </w:r>
      <w:r w:rsidR="00A35D4F">
        <w:rPr>
          <w:lang w:val="en-US"/>
        </w:rPr>
        <w:t xml:space="preserve"> </w:t>
      </w:r>
    </w:p>
    <w:p w14:paraId="3D0AEC99" w14:textId="162048EA" w:rsidR="008211D2" w:rsidRDefault="008211D2" w:rsidP="00AB1DF5">
      <w:pPr>
        <w:rPr>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w:t>
      </w:r>
      <w:r w:rsidR="002C285F">
        <w:rPr>
          <w:b/>
          <w:bCs/>
          <w:i/>
          <w:iCs/>
          <w:lang w:val="en-US"/>
        </w:rPr>
        <w:t xml:space="preserve">sync raster </w:t>
      </w:r>
      <w:r w:rsidRPr="008211D2">
        <w:rPr>
          <w:b/>
          <w:bCs/>
          <w:i/>
          <w:iCs/>
          <w:lang w:val="en-US"/>
        </w:rPr>
        <w:t>design would be needed for</w:t>
      </w:r>
      <w:r w:rsidR="002C285F">
        <w:rPr>
          <w:b/>
          <w:bCs/>
          <w:i/>
          <w:iCs/>
          <w:lang w:val="en-US"/>
        </w:rPr>
        <w:t xml:space="preserve"> band n100 </w:t>
      </w:r>
      <w:r w:rsidRPr="008211D2">
        <w:rPr>
          <w:b/>
          <w:bCs/>
          <w:i/>
          <w:iCs/>
          <w:lang w:val="en-US"/>
        </w:rPr>
        <w:t xml:space="preserve">in order to support </w:t>
      </w:r>
      <w:r w:rsidR="00C2598E">
        <w:rPr>
          <w:b/>
          <w:bCs/>
          <w:i/>
          <w:iCs/>
          <w:lang w:val="en-US"/>
        </w:rPr>
        <w:t>narrowband</w:t>
      </w:r>
      <w:r w:rsidRPr="008211D2">
        <w:rPr>
          <w:b/>
          <w:bCs/>
          <w:i/>
          <w:iCs/>
          <w:lang w:val="en-US"/>
        </w:rPr>
        <w:t xml:space="preserve"> NR allocation in both ends of the band.</w:t>
      </w:r>
    </w:p>
    <w:p w14:paraId="6E972CD9" w14:textId="77777777" w:rsidR="002C285F" w:rsidRDefault="008211D2" w:rsidP="00AB1DF5">
      <w:pPr>
        <w:rPr>
          <w:lang w:val="en-US"/>
        </w:rPr>
      </w:pPr>
      <w:r>
        <w:rPr>
          <w:lang w:val="en-US"/>
        </w:rPr>
        <w:t xml:space="preserve">As discussed in above the sync raster points (or clusters) </w:t>
      </w:r>
      <w:r w:rsidR="008D5FF0">
        <w:rPr>
          <w:lang w:val="en-US"/>
        </w:rPr>
        <w:t xml:space="preserve">should be placed more closely than every 1.2 </w:t>
      </w:r>
      <w:proofErr w:type="spellStart"/>
      <w:r w:rsidR="008D5FF0">
        <w:rPr>
          <w:lang w:val="en-US"/>
        </w:rPr>
        <w:t>MHz.</w:t>
      </w:r>
      <w:proofErr w:type="spellEnd"/>
      <w:r w:rsidR="008D5FF0">
        <w:rPr>
          <w:lang w:val="en-US"/>
        </w:rPr>
        <w:t xml:space="preserve"> </w:t>
      </w:r>
    </w:p>
    <w:p w14:paraId="7D4A0D0E" w14:textId="45C3E1D2" w:rsidR="002C285F" w:rsidRDefault="008D5FF0" w:rsidP="00D10FB2">
      <w:pPr>
        <w:pStyle w:val="B1"/>
        <w:numPr>
          <w:ilvl w:val="0"/>
          <w:numId w:val="32"/>
        </w:numPr>
        <w:rPr>
          <w:lang w:val="en-US"/>
        </w:rPr>
      </w:pPr>
      <w:r>
        <w:rPr>
          <w:lang w:val="en-US"/>
        </w:rPr>
        <w:t>One possible design could be to define sync raster points with 100 kHz raster, i.e. same as channel raster</w:t>
      </w:r>
      <w:r w:rsidRPr="00747567">
        <w:rPr>
          <w:lang w:val="en-US"/>
        </w:rPr>
        <w:t xml:space="preserve">. </w:t>
      </w:r>
    </w:p>
    <w:p w14:paraId="72E004D8" w14:textId="01AA24D9" w:rsidR="0021105B" w:rsidRDefault="002D5D12" w:rsidP="00D10FB2">
      <w:pPr>
        <w:pStyle w:val="B1"/>
        <w:numPr>
          <w:ilvl w:val="0"/>
          <w:numId w:val="32"/>
        </w:numPr>
        <w:rPr>
          <w:lang w:val="en-US"/>
        </w:rPr>
      </w:pPr>
      <w:r w:rsidRPr="00747567">
        <w:rPr>
          <w:lang w:val="en-US"/>
        </w:rPr>
        <w:t>Another option could be to define additional sync raster points</w:t>
      </w:r>
      <w:r w:rsidR="005733A6" w:rsidRPr="00747567">
        <w:rPr>
          <w:lang w:val="en-US"/>
        </w:rPr>
        <w:t xml:space="preserve"> by </w:t>
      </w:r>
      <w:r w:rsidR="00C639F1" w:rsidRPr="00747567">
        <w:rPr>
          <w:lang w:val="en-US"/>
        </w:rPr>
        <w:t>interpolating</w:t>
      </w:r>
      <w:r w:rsidR="005733A6" w:rsidRPr="00747567">
        <w:rPr>
          <w:lang w:val="en-US"/>
        </w:rPr>
        <w:t xml:space="preserve"> the existing GSCN, i.e., N * </w:t>
      </w:r>
      <w:r w:rsidR="00BF5249" w:rsidRPr="00747567">
        <w:rPr>
          <w:lang w:val="en-US"/>
        </w:rPr>
        <w:t>6</w:t>
      </w:r>
      <w:r w:rsidR="005733A6" w:rsidRPr="00747567">
        <w:rPr>
          <w:lang w:val="en-US"/>
        </w:rPr>
        <w:t>00 kHz + M * 50 kHz</w:t>
      </w:r>
      <w:r w:rsidR="002C285F">
        <w:rPr>
          <w:lang w:val="en-US"/>
        </w:rPr>
        <w:t>,</w:t>
      </w:r>
      <w:r w:rsidR="005733A6" w:rsidRPr="00747567">
        <w:rPr>
          <w:lang w:val="en-US"/>
        </w:rPr>
        <w:t xml:space="preserve"> which works for 150 kHz guard band without puncturing SSB. </w:t>
      </w:r>
      <w:r w:rsidR="00F86664" w:rsidRPr="00747567">
        <w:rPr>
          <w:lang w:val="en-US"/>
        </w:rPr>
        <w:t>Although sync raster density is half of channel raster</w:t>
      </w:r>
      <w:r w:rsidR="005733A6" w:rsidRPr="00747567">
        <w:rPr>
          <w:lang w:val="en-US"/>
        </w:rPr>
        <w:t>, th</w:t>
      </w:r>
      <w:r w:rsidR="002C285F">
        <w:rPr>
          <w:lang w:val="en-US"/>
        </w:rPr>
        <w:t xml:space="preserve">is </w:t>
      </w:r>
      <w:r w:rsidR="005733A6" w:rsidRPr="00747567">
        <w:rPr>
          <w:lang w:val="en-US"/>
        </w:rPr>
        <w:t>method requires different puncturing pattern on PBCH depending on channel placement</w:t>
      </w:r>
      <w:r w:rsidR="00F86664" w:rsidRPr="00747567">
        <w:rPr>
          <w:lang w:val="en-US"/>
        </w:rPr>
        <w:t xml:space="preserve">. </w:t>
      </w:r>
      <w:r w:rsidR="00783A40" w:rsidRPr="00747567">
        <w:rPr>
          <w:lang w:val="en-US"/>
        </w:rPr>
        <w:t xml:space="preserve">Currently it’s not clear what is the impact on </w:t>
      </w:r>
      <w:r w:rsidR="005733A6" w:rsidRPr="00747567">
        <w:rPr>
          <w:lang w:val="en-US"/>
        </w:rPr>
        <w:t>PBCH reception performance</w:t>
      </w:r>
      <w:r w:rsidR="00965A03" w:rsidRPr="00747567">
        <w:rPr>
          <w:lang w:val="en-US"/>
        </w:rPr>
        <w:t>.</w:t>
      </w:r>
      <w:r w:rsidR="00965A03">
        <w:rPr>
          <w:lang w:val="en-US"/>
        </w:rPr>
        <w:t xml:space="preserve"> </w:t>
      </w:r>
    </w:p>
    <w:p w14:paraId="6B5615E6" w14:textId="6B59459B" w:rsidR="003D3801" w:rsidRDefault="003D3801" w:rsidP="00F21F62">
      <w:pPr>
        <w:rPr>
          <w:b/>
          <w:bCs/>
          <w:i/>
          <w:iCs/>
          <w:lang w:val="en-US"/>
        </w:rPr>
      </w:pPr>
      <w:r w:rsidRPr="003D3801">
        <w:rPr>
          <w:b/>
          <w:bCs/>
          <w:i/>
          <w:iCs/>
          <w:lang w:val="en-US"/>
        </w:rPr>
        <w:lastRenderedPageBreak/>
        <w:t xml:space="preserve">Observation 3: </w:t>
      </w:r>
      <w:r>
        <w:rPr>
          <w:b/>
          <w:bCs/>
          <w:i/>
          <w:iCs/>
          <w:lang w:val="en-US"/>
        </w:rPr>
        <w:t>Selection of possible puncturing patterns may have impact on sync raster design</w:t>
      </w:r>
      <w:r w:rsidR="00A76ACB">
        <w:rPr>
          <w:b/>
          <w:bCs/>
          <w:i/>
          <w:iCs/>
          <w:lang w:val="en-US"/>
        </w:rPr>
        <w:t>.</w:t>
      </w:r>
    </w:p>
    <w:p w14:paraId="5AD029DE" w14:textId="7902F8BB" w:rsidR="00A76ACB" w:rsidRDefault="002C285F" w:rsidP="00F21F62">
      <w:pPr>
        <w:rPr>
          <w:lang w:val="en-US"/>
        </w:rPr>
      </w:pPr>
      <w:r>
        <w:rPr>
          <w:lang w:val="en-US"/>
        </w:rPr>
        <w:t>T</w:t>
      </w:r>
      <w:r w:rsidR="00A76ACB">
        <w:rPr>
          <w:lang w:val="en-US"/>
        </w:rPr>
        <w:t>here is a potential dependency between the puncturing and applicable sync raster, it is more prudent to consider the sync raster applicable for narrowband operation only in rel-18 together with the puncturing design. The downside is that changes to sync raster are needed in rel-18.</w:t>
      </w:r>
    </w:p>
    <w:p w14:paraId="1EE04612" w14:textId="05B007C4" w:rsidR="003D3801" w:rsidRDefault="003D3801" w:rsidP="00F21F62">
      <w:pPr>
        <w:rPr>
          <w:b/>
          <w:bCs/>
          <w:i/>
          <w:iCs/>
          <w:lang w:val="en-US"/>
        </w:rPr>
      </w:pPr>
      <w:r>
        <w:rPr>
          <w:b/>
          <w:bCs/>
          <w:i/>
          <w:iCs/>
          <w:lang w:val="en-US"/>
        </w:rPr>
        <w:t>Proposal 1: Define sync raster for n100 in rel-17 based on 5 MHz channel bandwidth and therefore reusing rel-15 sync raster design.</w:t>
      </w:r>
    </w:p>
    <w:p w14:paraId="62A895E5" w14:textId="23959291" w:rsidR="00D17A38" w:rsidRDefault="00077BD5" w:rsidP="00F21F62">
      <w:pPr>
        <w:rPr>
          <w:lang w:val="en-US"/>
        </w:rPr>
      </w:pPr>
      <w:r>
        <w:rPr>
          <w:lang w:val="en-US"/>
        </w:rPr>
        <w:t xml:space="preserve">It’s also to be noted that narrowband NR operation is </w:t>
      </w:r>
      <w:r w:rsidR="00D17A38">
        <w:rPr>
          <w:lang w:val="en-US"/>
        </w:rPr>
        <w:t xml:space="preserve">also </w:t>
      </w:r>
      <w:r>
        <w:rPr>
          <w:lang w:val="en-US"/>
        </w:rPr>
        <w:t xml:space="preserve">considered </w:t>
      </w:r>
      <w:r w:rsidR="00D17A38">
        <w:rPr>
          <w:lang w:val="en-US"/>
        </w:rPr>
        <w:t xml:space="preserve">to be deployed </w:t>
      </w:r>
      <w:r>
        <w:rPr>
          <w:lang w:val="en-US"/>
        </w:rPr>
        <w:t xml:space="preserve">in bands n8, n26 and n28 for the dedicated spectrum use </w:t>
      </w:r>
      <w:r w:rsidR="000D6EC1">
        <w:rPr>
          <w:lang w:val="en-US"/>
        </w:rPr>
        <w:t xml:space="preserve">for </w:t>
      </w:r>
      <w:r w:rsidR="00D17A38">
        <w:rPr>
          <w:lang w:val="en-US"/>
        </w:rPr>
        <w:t xml:space="preserve">instance for </w:t>
      </w:r>
      <w:r w:rsidR="000D6EC1">
        <w:rPr>
          <w:lang w:val="en-US"/>
        </w:rPr>
        <w:t>smart grid and public safety</w:t>
      </w:r>
      <w:r w:rsidR="00D17A38">
        <w:rPr>
          <w:lang w:val="en-US"/>
        </w:rPr>
        <w:t xml:space="preserve"> purposes</w:t>
      </w:r>
      <w:r w:rsidR="000D6EC1">
        <w:rPr>
          <w:lang w:val="en-US"/>
        </w:rPr>
        <w:t xml:space="preserve">. </w:t>
      </w:r>
      <w:r w:rsidR="00D17A38">
        <w:rPr>
          <w:lang w:val="en-US"/>
        </w:rPr>
        <w:t xml:space="preserve">In those </w:t>
      </w:r>
      <w:r w:rsidR="00F21F62">
        <w:rPr>
          <w:lang w:val="en-US"/>
        </w:rPr>
        <w:t xml:space="preserve">cases, 2x3 MHz FDD channels are </w:t>
      </w:r>
      <w:r w:rsidR="00120E8A">
        <w:rPr>
          <w:lang w:val="en-US"/>
        </w:rPr>
        <w:t xml:space="preserve">considered. </w:t>
      </w:r>
      <w:r w:rsidR="00D17A38">
        <w:rPr>
          <w:lang w:val="en-US"/>
        </w:rPr>
        <w:t xml:space="preserve">Thus, </w:t>
      </w:r>
      <w:r w:rsidR="00D10FB2">
        <w:rPr>
          <w:lang w:val="en-US"/>
        </w:rPr>
        <w:t xml:space="preserve">a </w:t>
      </w:r>
      <w:r w:rsidR="00D17A38">
        <w:rPr>
          <w:lang w:val="en-US"/>
        </w:rPr>
        <w:t>similar approach may need to be taken for n8, n26 and n28 as well where 3 MHz NR allocation may need to be placed into certain dedicated part of the band. As discussed above current sync raster design may not support that approach but a new design may be needed. Also for those cases, 100 kHz sync raster, i.e. the same as channel raster, would work.</w:t>
      </w:r>
    </w:p>
    <w:p w14:paraId="45334BE5" w14:textId="1AF8BDDC" w:rsidR="00194C44" w:rsidRDefault="00194C44" w:rsidP="00D17A38">
      <w:pPr>
        <w:rPr>
          <w:b/>
          <w:bCs/>
          <w:i/>
          <w:iCs/>
          <w:lang w:val="en-US"/>
        </w:rPr>
      </w:pPr>
      <w:r>
        <w:rPr>
          <w:b/>
          <w:bCs/>
          <w:i/>
          <w:iCs/>
          <w:lang w:val="en-US"/>
        </w:rPr>
        <w:t xml:space="preserve">Observation </w:t>
      </w:r>
      <w:r w:rsidR="00A76ACB">
        <w:rPr>
          <w:b/>
          <w:bCs/>
          <w:i/>
          <w:iCs/>
          <w:lang w:val="en-US"/>
        </w:rPr>
        <w:t>4</w:t>
      </w:r>
      <w:r w:rsidR="00D17A38">
        <w:rPr>
          <w:b/>
          <w:bCs/>
          <w:i/>
          <w:iCs/>
          <w:lang w:val="en-US"/>
        </w:rPr>
        <w:t xml:space="preserve">: A new sync raster design is likely needed </w:t>
      </w:r>
      <w:r w:rsidR="001A4B9A">
        <w:rPr>
          <w:b/>
          <w:bCs/>
          <w:i/>
          <w:iCs/>
          <w:lang w:val="en-US"/>
        </w:rPr>
        <w:t>that covers the needs</w:t>
      </w:r>
      <w:r w:rsidR="00D17A38">
        <w:rPr>
          <w:b/>
          <w:bCs/>
          <w:i/>
          <w:iCs/>
          <w:lang w:val="en-US"/>
        </w:rPr>
        <w:t xml:space="preserve"> for bands n8, n26</w:t>
      </w:r>
      <w:r w:rsidR="001A4B9A">
        <w:rPr>
          <w:b/>
          <w:bCs/>
          <w:i/>
          <w:iCs/>
          <w:lang w:val="en-US"/>
        </w:rPr>
        <w:t>,</w:t>
      </w:r>
      <w:r w:rsidR="00D17A38">
        <w:rPr>
          <w:b/>
          <w:bCs/>
          <w:i/>
          <w:iCs/>
          <w:lang w:val="en-US"/>
        </w:rPr>
        <w:t xml:space="preserve"> n28</w:t>
      </w:r>
      <w:r w:rsidR="001A4B9A">
        <w:rPr>
          <w:b/>
          <w:bCs/>
          <w:i/>
          <w:iCs/>
          <w:lang w:val="en-US"/>
        </w:rPr>
        <w:t xml:space="preserve"> and n100</w:t>
      </w:r>
      <w:r w:rsidR="00D17A38">
        <w:rPr>
          <w:b/>
          <w:bCs/>
          <w:i/>
          <w:iCs/>
          <w:lang w:val="en-US"/>
        </w:rPr>
        <w:t>.</w:t>
      </w:r>
    </w:p>
    <w:p w14:paraId="3C18626C" w14:textId="77777777" w:rsidR="007F6156" w:rsidRPr="00747567" w:rsidRDefault="007F6156" w:rsidP="0067331E">
      <w:pPr>
        <w:pStyle w:val="Heading2Head2A2"/>
        <w:numPr>
          <w:ilvl w:val="0"/>
          <w:numId w:val="31"/>
        </w:numPr>
        <w:ind w:left="357" w:hanging="357"/>
        <w:rPr>
          <w:color w:val="auto"/>
          <w:sz w:val="40"/>
          <w:szCs w:val="24"/>
        </w:rPr>
      </w:pPr>
      <w:r w:rsidRPr="00747567">
        <w:rPr>
          <w:color w:val="auto"/>
          <w:sz w:val="40"/>
          <w:szCs w:val="24"/>
        </w:rPr>
        <w:t>Conclusion</w:t>
      </w:r>
    </w:p>
    <w:p w14:paraId="0E849F55" w14:textId="37A3E9A1" w:rsidR="00B8318B" w:rsidRDefault="00B8318B" w:rsidP="00B8318B">
      <w:pPr>
        <w:rPr>
          <w:lang w:val="en-US"/>
        </w:rPr>
      </w:pPr>
      <w:r w:rsidRPr="00B8318B">
        <w:rPr>
          <w:lang w:val="en-US"/>
        </w:rPr>
        <w:t>In this contribution we discuss</w:t>
      </w:r>
      <w:r w:rsidR="009A43D2">
        <w:rPr>
          <w:lang w:val="en-US"/>
        </w:rPr>
        <w:t>ed</w:t>
      </w:r>
      <w:r w:rsidRPr="00B8318B">
        <w:rPr>
          <w:lang w:val="en-US"/>
        </w:rPr>
        <w:t xml:space="preserve"> </w:t>
      </w:r>
      <w:r w:rsidR="009A43D2">
        <w:rPr>
          <w:lang w:val="en-US"/>
        </w:rPr>
        <w:t>synchronization raster design for n100. F</w:t>
      </w:r>
      <w:r w:rsidRPr="00B8318B">
        <w:rPr>
          <w:lang w:val="en-US"/>
        </w:rPr>
        <w:t xml:space="preserve">ollowing observations and proposals </w:t>
      </w:r>
      <w:r w:rsidR="009A43D2">
        <w:rPr>
          <w:lang w:val="en-US"/>
        </w:rPr>
        <w:t>were made.</w:t>
      </w:r>
    </w:p>
    <w:p w14:paraId="7B6A0D11" w14:textId="77777777" w:rsidR="00A76ACB" w:rsidRPr="009A43D2" w:rsidRDefault="00A76ACB" w:rsidP="00A76ACB">
      <w:pPr>
        <w:rPr>
          <w:rFonts w:eastAsia="DengXian"/>
          <w:b/>
          <w:bCs/>
          <w:i/>
          <w:iCs/>
          <w:lang w:val="en-US" w:eastAsia="zh-CN"/>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Pr>
          <w:b/>
          <w:bCs/>
          <w:i/>
          <w:iCs/>
          <w:lang w:val="en-US"/>
        </w:rPr>
        <w:t xml:space="preserve">In general, </w:t>
      </w:r>
      <w:r w:rsidRPr="00CF6A66">
        <w:rPr>
          <w:b/>
          <w:bCs/>
          <w:i/>
          <w:iCs/>
          <w:lang w:val="en-US"/>
        </w:rPr>
        <w:t>for an allowed bandwidth of, for example, 3 MHz, and with the principle of not modifying PSS and SSS, the clusters of synchronization raster points need to be separated less than 1.2 MHz</w:t>
      </w:r>
      <w:r>
        <w:rPr>
          <w:b/>
          <w:bCs/>
          <w:i/>
          <w:iCs/>
          <w:lang w:val="en-US"/>
        </w:rPr>
        <w:t xml:space="preserve"> in order to have at least one valid synchronization raster point for each 3 MHz channel if 100 kHz channel raster is applied. </w:t>
      </w:r>
    </w:p>
    <w:p w14:paraId="119F91FF" w14:textId="282F04DC" w:rsidR="00A76ACB" w:rsidRDefault="00A76ACB" w:rsidP="00A76ACB">
      <w:pPr>
        <w:rPr>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w:t>
      </w:r>
      <w:r w:rsidR="008E4021">
        <w:rPr>
          <w:b/>
          <w:bCs/>
          <w:i/>
          <w:iCs/>
          <w:lang w:val="en-US"/>
        </w:rPr>
        <w:t xml:space="preserve">sync raster </w:t>
      </w:r>
      <w:r w:rsidRPr="008211D2">
        <w:rPr>
          <w:b/>
          <w:bCs/>
          <w:i/>
          <w:iCs/>
          <w:lang w:val="en-US"/>
        </w:rPr>
        <w:t xml:space="preserve">design would be needed for </w:t>
      </w:r>
      <w:r w:rsidR="008E4021">
        <w:rPr>
          <w:b/>
          <w:bCs/>
          <w:i/>
          <w:iCs/>
          <w:lang w:val="en-US"/>
        </w:rPr>
        <w:t>band</w:t>
      </w:r>
      <w:r w:rsidRPr="008211D2">
        <w:rPr>
          <w:b/>
          <w:bCs/>
          <w:i/>
          <w:iCs/>
          <w:lang w:val="en-US"/>
        </w:rPr>
        <w:t xml:space="preserve"> n100 in order to support </w:t>
      </w:r>
      <w:r>
        <w:rPr>
          <w:b/>
          <w:bCs/>
          <w:i/>
          <w:iCs/>
          <w:lang w:val="en-US"/>
        </w:rPr>
        <w:t>narrowband</w:t>
      </w:r>
      <w:r w:rsidRPr="008211D2">
        <w:rPr>
          <w:b/>
          <w:bCs/>
          <w:i/>
          <w:iCs/>
          <w:lang w:val="en-US"/>
        </w:rPr>
        <w:t xml:space="preserve"> NR allocation in both ends of the band.</w:t>
      </w:r>
    </w:p>
    <w:p w14:paraId="3E10743F" w14:textId="77777777" w:rsidR="00A76ACB" w:rsidRDefault="00A76ACB" w:rsidP="00A76ACB">
      <w:pPr>
        <w:rPr>
          <w:b/>
          <w:bCs/>
          <w:i/>
          <w:iCs/>
          <w:lang w:val="en-US"/>
        </w:rPr>
      </w:pPr>
      <w:r w:rsidRPr="003D3801">
        <w:rPr>
          <w:b/>
          <w:bCs/>
          <w:i/>
          <w:iCs/>
          <w:lang w:val="en-US"/>
        </w:rPr>
        <w:t xml:space="preserve">Observation 3: </w:t>
      </w:r>
      <w:r>
        <w:rPr>
          <w:b/>
          <w:bCs/>
          <w:i/>
          <w:iCs/>
          <w:lang w:val="en-US"/>
        </w:rPr>
        <w:t>Selection of possible puncturing patterns may have impact on sync raster design.</w:t>
      </w:r>
    </w:p>
    <w:p w14:paraId="63AD16BB" w14:textId="16BAE53B" w:rsidR="00A76ACB" w:rsidRDefault="00A76ACB" w:rsidP="00A76ACB">
      <w:pPr>
        <w:rPr>
          <w:b/>
          <w:bCs/>
          <w:i/>
          <w:iCs/>
          <w:lang w:val="en-US"/>
        </w:rPr>
      </w:pPr>
      <w:r>
        <w:rPr>
          <w:b/>
          <w:bCs/>
          <w:i/>
          <w:iCs/>
          <w:lang w:val="en-US"/>
        </w:rPr>
        <w:t xml:space="preserve">Observation 4: A new sync raster design is likely needed </w:t>
      </w:r>
      <w:r w:rsidR="008E4021">
        <w:rPr>
          <w:b/>
          <w:bCs/>
          <w:i/>
          <w:iCs/>
          <w:lang w:val="en-US"/>
        </w:rPr>
        <w:t>that covers the n</w:t>
      </w:r>
      <w:r w:rsidR="00D10FB2">
        <w:rPr>
          <w:b/>
          <w:bCs/>
          <w:i/>
          <w:iCs/>
          <w:lang w:val="en-US"/>
        </w:rPr>
        <w:t>e</w:t>
      </w:r>
      <w:r w:rsidR="008E4021">
        <w:rPr>
          <w:b/>
          <w:bCs/>
          <w:i/>
          <w:iCs/>
          <w:lang w:val="en-US"/>
        </w:rPr>
        <w:t>eds</w:t>
      </w:r>
      <w:r>
        <w:rPr>
          <w:b/>
          <w:bCs/>
          <w:i/>
          <w:iCs/>
          <w:lang w:val="en-US"/>
        </w:rPr>
        <w:t xml:space="preserve"> for bands n8, n26</w:t>
      </w:r>
      <w:r w:rsidR="008E4021">
        <w:rPr>
          <w:b/>
          <w:bCs/>
          <w:i/>
          <w:iCs/>
          <w:lang w:val="en-US"/>
        </w:rPr>
        <w:t>,</w:t>
      </w:r>
      <w:r>
        <w:rPr>
          <w:b/>
          <w:bCs/>
          <w:i/>
          <w:iCs/>
          <w:lang w:val="en-US"/>
        </w:rPr>
        <w:t xml:space="preserve"> n28 </w:t>
      </w:r>
      <w:r w:rsidR="008E4021">
        <w:rPr>
          <w:b/>
          <w:bCs/>
          <w:i/>
          <w:iCs/>
          <w:lang w:val="en-US"/>
        </w:rPr>
        <w:t>and n100</w:t>
      </w:r>
      <w:r>
        <w:rPr>
          <w:b/>
          <w:bCs/>
          <w:i/>
          <w:iCs/>
          <w:lang w:val="en-US"/>
        </w:rPr>
        <w:t xml:space="preserve">. </w:t>
      </w:r>
    </w:p>
    <w:p w14:paraId="26468BB3" w14:textId="6881EFDF" w:rsidR="00A76ACB" w:rsidRPr="00A76ACB" w:rsidRDefault="00A76ACB" w:rsidP="00B8318B">
      <w:pPr>
        <w:rPr>
          <w:b/>
          <w:bCs/>
          <w:i/>
          <w:iCs/>
          <w:lang w:val="en-US"/>
        </w:rPr>
      </w:pPr>
      <w:r>
        <w:rPr>
          <w:b/>
          <w:bCs/>
          <w:i/>
          <w:iCs/>
          <w:lang w:val="en-US"/>
        </w:rPr>
        <w:t>Proposal 1: Define sync raster for n100 in rel-17 based on 5 MHz channel bandwidth and therefore reusing rel-15 sync raster design.</w:t>
      </w:r>
    </w:p>
    <w:p w14:paraId="65EC98D5" w14:textId="77777777" w:rsidR="00904C26" w:rsidRDefault="00904C26" w:rsidP="00747567">
      <w:pPr>
        <w:pStyle w:val="Heading2Head2A2"/>
        <w:tabs>
          <w:tab w:val="clear" w:pos="851"/>
        </w:tabs>
      </w:pPr>
      <w:r w:rsidRPr="00747567">
        <w:rPr>
          <w:color w:val="auto"/>
          <w:sz w:val="40"/>
          <w:szCs w:val="24"/>
        </w:rPr>
        <w:t>References</w:t>
      </w:r>
    </w:p>
    <w:bookmarkEnd w:id="0"/>
    <w:p w14:paraId="40B005C3" w14:textId="5E56A299" w:rsidR="00832B5F" w:rsidRDefault="002474E0" w:rsidP="004A2050">
      <w:pPr>
        <w:pStyle w:val="EX"/>
        <w:tabs>
          <w:tab w:val="left" w:pos="426"/>
        </w:tabs>
        <w:overflowPunct/>
        <w:autoSpaceDE/>
        <w:autoSpaceDN/>
        <w:adjustRightInd/>
        <w:ind w:left="0" w:firstLine="0"/>
        <w:textAlignment w:val="auto"/>
        <w:rPr>
          <w:lang w:val="en-US"/>
        </w:rPr>
      </w:pPr>
      <w:r>
        <w:rPr>
          <w:lang w:val="en-US"/>
        </w:rPr>
        <w:t>[1]</w:t>
      </w:r>
      <w:r>
        <w:rPr>
          <w:lang w:val="en-US"/>
        </w:rPr>
        <w:tab/>
      </w:r>
      <w:r w:rsidR="004A2050" w:rsidRPr="004A2050">
        <w:rPr>
          <w:lang w:val="en-US"/>
        </w:rPr>
        <w:t xml:space="preserve">RP-213603, “New WI: NR support for dedicated spectrum less than 5MHz for FR1”,  Nokia, Nokia Shanghai Bell, UIC, </w:t>
      </w:r>
      <w:proofErr w:type="spellStart"/>
      <w:r w:rsidR="004A2050" w:rsidRPr="004A2050">
        <w:rPr>
          <w:lang w:val="en-US"/>
        </w:rPr>
        <w:t>Anterix</w:t>
      </w:r>
      <w:proofErr w:type="spellEnd"/>
      <w:r w:rsidR="004A2050" w:rsidRPr="004A2050">
        <w:rPr>
          <w:lang w:val="en-US"/>
        </w:rPr>
        <w:t xml:space="preserve">, Qualcomm, www.3gpp.org   </w:t>
      </w:r>
    </w:p>
    <w:p w14:paraId="1F879931" w14:textId="5DB211BC" w:rsidR="0021105B" w:rsidRPr="0021105B" w:rsidRDefault="0021105B" w:rsidP="009A43D2">
      <w:pPr>
        <w:pStyle w:val="EX"/>
        <w:tabs>
          <w:tab w:val="left" w:pos="426"/>
        </w:tabs>
        <w:overflowPunct/>
        <w:autoSpaceDE/>
        <w:autoSpaceDN/>
        <w:adjustRightInd/>
        <w:ind w:left="0" w:firstLine="0"/>
        <w:textAlignment w:val="auto"/>
      </w:pPr>
    </w:p>
    <w:sectPr w:rsidR="0021105B" w:rsidRPr="0021105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DA61" w14:textId="77777777" w:rsidR="009A5A0B" w:rsidRDefault="009A5A0B">
      <w:r>
        <w:separator/>
      </w:r>
    </w:p>
    <w:p w14:paraId="544F9946" w14:textId="77777777" w:rsidR="009A5A0B" w:rsidRDefault="009A5A0B"/>
  </w:endnote>
  <w:endnote w:type="continuationSeparator" w:id="0">
    <w:p w14:paraId="06B38775" w14:textId="77777777" w:rsidR="009A5A0B" w:rsidRDefault="009A5A0B">
      <w:r>
        <w:continuationSeparator/>
      </w:r>
    </w:p>
    <w:p w14:paraId="30605059" w14:textId="77777777" w:rsidR="009A5A0B" w:rsidRDefault="009A5A0B"/>
  </w:endnote>
  <w:endnote w:type="continuationNotice" w:id="1">
    <w:p w14:paraId="1A7A4B49" w14:textId="77777777" w:rsidR="009A5A0B" w:rsidRDefault="009A5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F0BB2" w14:textId="77777777" w:rsidR="0045300A" w:rsidRDefault="0045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37A14" w14:textId="77777777" w:rsidR="009A5A0B" w:rsidRDefault="009A5A0B">
      <w:r>
        <w:separator/>
      </w:r>
    </w:p>
    <w:p w14:paraId="4C2F0D22" w14:textId="77777777" w:rsidR="009A5A0B" w:rsidRDefault="009A5A0B"/>
  </w:footnote>
  <w:footnote w:type="continuationSeparator" w:id="0">
    <w:p w14:paraId="5BCFDFCE" w14:textId="77777777" w:rsidR="009A5A0B" w:rsidRDefault="009A5A0B">
      <w:r>
        <w:continuationSeparator/>
      </w:r>
    </w:p>
    <w:p w14:paraId="50C9DA05" w14:textId="77777777" w:rsidR="009A5A0B" w:rsidRDefault="009A5A0B"/>
  </w:footnote>
  <w:footnote w:type="continuationNotice" w:id="1">
    <w:p w14:paraId="1040266D" w14:textId="77777777" w:rsidR="009A5A0B" w:rsidRDefault="009A5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5268" w14:textId="77777777" w:rsidR="0045300A" w:rsidRPr="00B72D39" w:rsidRDefault="0045300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C24E0"/>
    <w:multiLevelType w:val="hybridMultilevel"/>
    <w:tmpl w:val="C0CAAE72"/>
    <w:lvl w:ilvl="0" w:tplc="040B0001">
      <w:start w:val="1"/>
      <w:numFmt w:val="bullet"/>
      <w:lvlText w:val=""/>
      <w:lvlJc w:val="left"/>
      <w:pPr>
        <w:ind w:left="771" w:hanging="360"/>
      </w:pPr>
      <w:rPr>
        <w:rFonts w:ascii="Symbol" w:hAnsi="Symbol" w:hint="default"/>
      </w:rPr>
    </w:lvl>
    <w:lvl w:ilvl="1" w:tplc="040B0003" w:tentative="1">
      <w:start w:val="1"/>
      <w:numFmt w:val="bullet"/>
      <w:lvlText w:val="o"/>
      <w:lvlJc w:val="left"/>
      <w:pPr>
        <w:ind w:left="1491" w:hanging="360"/>
      </w:pPr>
      <w:rPr>
        <w:rFonts w:ascii="Courier New" w:hAnsi="Courier New" w:cs="Courier New" w:hint="default"/>
      </w:rPr>
    </w:lvl>
    <w:lvl w:ilvl="2" w:tplc="040B0005" w:tentative="1">
      <w:start w:val="1"/>
      <w:numFmt w:val="bullet"/>
      <w:lvlText w:val=""/>
      <w:lvlJc w:val="left"/>
      <w:pPr>
        <w:ind w:left="2211" w:hanging="360"/>
      </w:pPr>
      <w:rPr>
        <w:rFonts w:ascii="Wingdings" w:hAnsi="Wingdings" w:hint="default"/>
      </w:rPr>
    </w:lvl>
    <w:lvl w:ilvl="3" w:tplc="040B0001" w:tentative="1">
      <w:start w:val="1"/>
      <w:numFmt w:val="bullet"/>
      <w:lvlText w:val=""/>
      <w:lvlJc w:val="left"/>
      <w:pPr>
        <w:ind w:left="2931" w:hanging="360"/>
      </w:pPr>
      <w:rPr>
        <w:rFonts w:ascii="Symbol" w:hAnsi="Symbol" w:hint="default"/>
      </w:rPr>
    </w:lvl>
    <w:lvl w:ilvl="4" w:tplc="040B0003" w:tentative="1">
      <w:start w:val="1"/>
      <w:numFmt w:val="bullet"/>
      <w:lvlText w:val="o"/>
      <w:lvlJc w:val="left"/>
      <w:pPr>
        <w:ind w:left="3651" w:hanging="360"/>
      </w:pPr>
      <w:rPr>
        <w:rFonts w:ascii="Courier New" w:hAnsi="Courier New" w:cs="Courier New" w:hint="default"/>
      </w:rPr>
    </w:lvl>
    <w:lvl w:ilvl="5" w:tplc="040B0005" w:tentative="1">
      <w:start w:val="1"/>
      <w:numFmt w:val="bullet"/>
      <w:lvlText w:val=""/>
      <w:lvlJc w:val="left"/>
      <w:pPr>
        <w:ind w:left="4371" w:hanging="360"/>
      </w:pPr>
      <w:rPr>
        <w:rFonts w:ascii="Wingdings" w:hAnsi="Wingdings" w:hint="default"/>
      </w:rPr>
    </w:lvl>
    <w:lvl w:ilvl="6" w:tplc="040B0001" w:tentative="1">
      <w:start w:val="1"/>
      <w:numFmt w:val="bullet"/>
      <w:lvlText w:val=""/>
      <w:lvlJc w:val="left"/>
      <w:pPr>
        <w:ind w:left="5091" w:hanging="360"/>
      </w:pPr>
      <w:rPr>
        <w:rFonts w:ascii="Symbol" w:hAnsi="Symbol" w:hint="default"/>
      </w:rPr>
    </w:lvl>
    <w:lvl w:ilvl="7" w:tplc="040B0003" w:tentative="1">
      <w:start w:val="1"/>
      <w:numFmt w:val="bullet"/>
      <w:lvlText w:val="o"/>
      <w:lvlJc w:val="left"/>
      <w:pPr>
        <w:ind w:left="5811" w:hanging="360"/>
      </w:pPr>
      <w:rPr>
        <w:rFonts w:ascii="Courier New" w:hAnsi="Courier New" w:cs="Courier New" w:hint="default"/>
      </w:rPr>
    </w:lvl>
    <w:lvl w:ilvl="8" w:tplc="040B0005" w:tentative="1">
      <w:start w:val="1"/>
      <w:numFmt w:val="bullet"/>
      <w:lvlText w:val=""/>
      <w:lvlJc w:val="left"/>
      <w:pPr>
        <w:ind w:left="65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4F4C2A"/>
    <w:multiLevelType w:val="hybridMultilevel"/>
    <w:tmpl w:val="57AA7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F62380"/>
    <w:multiLevelType w:val="hybridMultilevel"/>
    <w:tmpl w:val="1F6A6B26"/>
    <w:lvl w:ilvl="0" w:tplc="15A6E46A">
      <w:start w:val="1"/>
      <w:numFmt w:val="bullet"/>
      <w:lvlText w:val="•"/>
      <w:lvlJc w:val="left"/>
      <w:pPr>
        <w:tabs>
          <w:tab w:val="num" w:pos="720"/>
        </w:tabs>
        <w:ind w:left="720" w:hanging="360"/>
      </w:pPr>
      <w:rPr>
        <w:rFonts w:ascii="Arial" w:hAnsi="Arial" w:hint="default"/>
      </w:rPr>
    </w:lvl>
    <w:lvl w:ilvl="1" w:tplc="6C9C0E2E" w:tentative="1">
      <w:start w:val="1"/>
      <w:numFmt w:val="bullet"/>
      <w:lvlText w:val="•"/>
      <w:lvlJc w:val="left"/>
      <w:pPr>
        <w:tabs>
          <w:tab w:val="num" w:pos="1440"/>
        </w:tabs>
        <w:ind w:left="1440" w:hanging="360"/>
      </w:pPr>
      <w:rPr>
        <w:rFonts w:ascii="Arial" w:hAnsi="Arial" w:hint="default"/>
      </w:rPr>
    </w:lvl>
    <w:lvl w:ilvl="2" w:tplc="661CBECE" w:tentative="1">
      <w:start w:val="1"/>
      <w:numFmt w:val="bullet"/>
      <w:lvlText w:val="•"/>
      <w:lvlJc w:val="left"/>
      <w:pPr>
        <w:tabs>
          <w:tab w:val="num" w:pos="2160"/>
        </w:tabs>
        <w:ind w:left="2160" w:hanging="360"/>
      </w:pPr>
      <w:rPr>
        <w:rFonts w:ascii="Arial" w:hAnsi="Arial" w:hint="default"/>
      </w:rPr>
    </w:lvl>
    <w:lvl w:ilvl="3" w:tplc="5D62E684" w:tentative="1">
      <w:start w:val="1"/>
      <w:numFmt w:val="bullet"/>
      <w:lvlText w:val="•"/>
      <w:lvlJc w:val="left"/>
      <w:pPr>
        <w:tabs>
          <w:tab w:val="num" w:pos="2880"/>
        </w:tabs>
        <w:ind w:left="2880" w:hanging="360"/>
      </w:pPr>
      <w:rPr>
        <w:rFonts w:ascii="Arial" w:hAnsi="Arial" w:hint="default"/>
      </w:rPr>
    </w:lvl>
    <w:lvl w:ilvl="4" w:tplc="E3AAA402" w:tentative="1">
      <w:start w:val="1"/>
      <w:numFmt w:val="bullet"/>
      <w:lvlText w:val="•"/>
      <w:lvlJc w:val="left"/>
      <w:pPr>
        <w:tabs>
          <w:tab w:val="num" w:pos="3600"/>
        </w:tabs>
        <w:ind w:left="3600" w:hanging="360"/>
      </w:pPr>
      <w:rPr>
        <w:rFonts w:ascii="Arial" w:hAnsi="Arial" w:hint="default"/>
      </w:rPr>
    </w:lvl>
    <w:lvl w:ilvl="5" w:tplc="9276445A" w:tentative="1">
      <w:start w:val="1"/>
      <w:numFmt w:val="bullet"/>
      <w:lvlText w:val="•"/>
      <w:lvlJc w:val="left"/>
      <w:pPr>
        <w:tabs>
          <w:tab w:val="num" w:pos="4320"/>
        </w:tabs>
        <w:ind w:left="4320" w:hanging="360"/>
      </w:pPr>
      <w:rPr>
        <w:rFonts w:ascii="Arial" w:hAnsi="Arial" w:hint="default"/>
      </w:rPr>
    </w:lvl>
    <w:lvl w:ilvl="6" w:tplc="7F0EAEBC" w:tentative="1">
      <w:start w:val="1"/>
      <w:numFmt w:val="bullet"/>
      <w:lvlText w:val="•"/>
      <w:lvlJc w:val="left"/>
      <w:pPr>
        <w:tabs>
          <w:tab w:val="num" w:pos="5040"/>
        </w:tabs>
        <w:ind w:left="5040" w:hanging="360"/>
      </w:pPr>
      <w:rPr>
        <w:rFonts w:ascii="Arial" w:hAnsi="Arial" w:hint="default"/>
      </w:rPr>
    </w:lvl>
    <w:lvl w:ilvl="7" w:tplc="FAFEA2EE" w:tentative="1">
      <w:start w:val="1"/>
      <w:numFmt w:val="bullet"/>
      <w:lvlText w:val="•"/>
      <w:lvlJc w:val="left"/>
      <w:pPr>
        <w:tabs>
          <w:tab w:val="num" w:pos="5760"/>
        </w:tabs>
        <w:ind w:left="5760" w:hanging="360"/>
      </w:pPr>
      <w:rPr>
        <w:rFonts w:ascii="Arial" w:hAnsi="Arial" w:hint="default"/>
      </w:rPr>
    </w:lvl>
    <w:lvl w:ilvl="8" w:tplc="28A8FD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A08EDAE4">
      <w:start w:val="1"/>
      <w:numFmt w:val="decimal"/>
      <w:pStyle w:val="myReference"/>
      <w:lvlText w:val="[%1]"/>
      <w:lvlJc w:val="left"/>
      <w:pPr>
        <w:tabs>
          <w:tab w:val="num" w:pos="-1440"/>
        </w:tabs>
        <w:ind w:left="-1440" w:hanging="360"/>
      </w:pPr>
      <w:rPr>
        <w:rFonts w:hint="default"/>
      </w:rPr>
    </w:lvl>
    <w:lvl w:ilvl="1" w:tplc="D98A0246" w:tentative="1">
      <w:start w:val="1"/>
      <w:numFmt w:val="lowerLetter"/>
      <w:lvlText w:val="%2."/>
      <w:lvlJc w:val="left"/>
      <w:pPr>
        <w:tabs>
          <w:tab w:val="num" w:pos="-720"/>
        </w:tabs>
        <w:ind w:left="-720" w:hanging="360"/>
      </w:pPr>
    </w:lvl>
    <w:lvl w:ilvl="2" w:tplc="B470E444" w:tentative="1">
      <w:start w:val="1"/>
      <w:numFmt w:val="lowerRoman"/>
      <w:lvlText w:val="%3."/>
      <w:lvlJc w:val="right"/>
      <w:pPr>
        <w:tabs>
          <w:tab w:val="num" w:pos="0"/>
        </w:tabs>
        <w:ind w:left="0" w:hanging="180"/>
      </w:pPr>
    </w:lvl>
    <w:lvl w:ilvl="3" w:tplc="8CA2A750" w:tentative="1">
      <w:start w:val="1"/>
      <w:numFmt w:val="decimal"/>
      <w:lvlText w:val="%4."/>
      <w:lvlJc w:val="left"/>
      <w:pPr>
        <w:tabs>
          <w:tab w:val="num" w:pos="720"/>
        </w:tabs>
        <w:ind w:left="720" w:hanging="360"/>
      </w:pPr>
    </w:lvl>
    <w:lvl w:ilvl="4" w:tplc="234436C4" w:tentative="1">
      <w:start w:val="1"/>
      <w:numFmt w:val="lowerLetter"/>
      <w:lvlText w:val="%5."/>
      <w:lvlJc w:val="left"/>
      <w:pPr>
        <w:tabs>
          <w:tab w:val="num" w:pos="1440"/>
        </w:tabs>
        <w:ind w:left="1440" w:hanging="360"/>
      </w:pPr>
    </w:lvl>
    <w:lvl w:ilvl="5" w:tplc="4650BE54" w:tentative="1">
      <w:start w:val="1"/>
      <w:numFmt w:val="lowerRoman"/>
      <w:lvlText w:val="%6."/>
      <w:lvlJc w:val="right"/>
      <w:pPr>
        <w:tabs>
          <w:tab w:val="num" w:pos="2160"/>
        </w:tabs>
        <w:ind w:left="2160" w:hanging="180"/>
      </w:pPr>
    </w:lvl>
    <w:lvl w:ilvl="6" w:tplc="1E32AF24" w:tentative="1">
      <w:start w:val="1"/>
      <w:numFmt w:val="decimal"/>
      <w:lvlText w:val="%7."/>
      <w:lvlJc w:val="left"/>
      <w:pPr>
        <w:tabs>
          <w:tab w:val="num" w:pos="2880"/>
        </w:tabs>
        <w:ind w:left="2880" w:hanging="360"/>
      </w:pPr>
    </w:lvl>
    <w:lvl w:ilvl="7" w:tplc="7A163780" w:tentative="1">
      <w:start w:val="1"/>
      <w:numFmt w:val="lowerLetter"/>
      <w:lvlText w:val="%8."/>
      <w:lvlJc w:val="left"/>
      <w:pPr>
        <w:tabs>
          <w:tab w:val="num" w:pos="3600"/>
        </w:tabs>
        <w:ind w:left="3600" w:hanging="360"/>
      </w:pPr>
    </w:lvl>
    <w:lvl w:ilvl="8" w:tplc="848202C8"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9"/>
  </w:num>
  <w:num w:numId="3">
    <w:abstractNumId w:val="30"/>
  </w:num>
  <w:num w:numId="4">
    <w:abstractNumId w:val="7"/>
  </w:num>
  <w:num w:numId="5">
    <w:abstractNumId w:val="3"/>
  </w:num>
  <w:num w:numId="6">
    <w:abstractNumId w:val="25"/>
  </w:num>
  <w:num w:numId="7">
    <w:abstractNumId w:val="21"/>
  </w:num>
  <w:num w:numId="8">
    <w:abstractNumId w:val="24"/>
  </w:num>
  <w:num w:numId="9">
    <w:abstractNumId w:val="8"/>
  </w:num>
  <w:num w:numId="10">
    <w:abstractNumId w:val="19"/>
  </w:num>
  <w:num w:numId="11">
    <w:abstractNumId w:val="31"/>
  </w:num>
  <w:num w:numId="12">
    <w:abstractNumId w:val="13"/>
  </w:num>
  <w:num w:numId="13">
    <w:abstractNumId w:val="20"/>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9"/>
  </w:num>
  <w:num w:numId="19">
    <w:abstractNumId w:val="26"/>
  </w:num>
  <w:num w:numId="20">
    <w:abstractNumId w:val="28"/>
  </w:num>
  <w:num w:numId="21">
    <w:abstractNumId w:val="2"/>
  </w:num>
  <w:num w:numId="22">
    <w:abstractNumId w:val="6"/>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3"/>
  </w:num>
  <w:num w:numId="26">
    <w:abstractNumId w:val="22"/>
  </w:num>
  <w:num w:numId="27">
    <w:abstractNumId w:val="0"/>
  </w:num>
  <w:num w:numId="28">
    <w:abstractNumId w:val="16"/>
  </w:num>
  <w:num w:numId="29">
    <w:abstractNumId w:val="5"/>
  </w:num>
  <w:num w:numId="30">
    <w:abstractNumId w:val="10"/>
  </w:num>
  <w:num w:numId="31">
    <w:abstractNumId w:val="4"/>
  </w:num>
  <w:num w:numId="3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36F1"/>
    <w:rsid w:val="00013D0A"/>
    <w:rsid w:val="00016452"/>
    <w:rsid w:val="00016BA0"/>
    <w:rsid w:val="00017045"/>
    <w:rsid w:val="00022200"/>
    <w:rsid w:val="0002269C"/>
    <w:rsid w:val="00022F79"/>
    <w:rsid w:val="00023420"/>
    <w:rsid w:val="00024555"/>
    <w:rsid w:val="00024DA3"/>
    <w:rsid w:val="0002536C"/>
    <w:rsid w:val="00026235"/>
    <w:rsid w:val="000267D4"/>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07B"/>
    <w:rsid w:val="00063665"/>
    <w:rsid w:val="00064217"/>
    <w:rsid w:val="00064909"/>
    <w:rsid w:val="00065047"/>
    <w:rsid w:val="00066C42"/>
    <w:rsid w:val="00070D0C"/>
    <w:rsid w:val="00071BE8"/>
    <w:rsid w:val="0007265D"/>
    <w:rsid w:val="00072E66"/>
    <w:rsid w:val="00074DD5"/>
    <w:rsid w:val="0007511F"/>
    <w:rsid w:val="00075853"/>
    <w:rsid w:val="00075992"/>
    <w:rsid w:val="00075AD8"/>
    <w:rsid w:val="00077BD5"/>
    <w:rsid w:val="00082919"/>
    <w:rsid w:val="000835E1"/>
    <w:rsid w:val="00083C41"/>
    <w:rsid w:val="000864E9"/>
    <w:rsid w:val="0008772F"/>
    <w:rsid w:val="0009083B"/>
    <w:rsid w:val="000933C8"/>
    <w:rsid w:val="00093E30"/>
    <w:rsid w:val="0009501F"/>
    <w:rsid w:val="00095556"/>
    <w:rsid w:val="00095A55"/>
    <w:rsid w:val="0009681B"/>
    <w:rsid w:val="00096BF8"/>
    <w:rsid w:val="00096F7C"/>
    <w:rsid w:val="000A6F38"/>
    <w:rsid w:val="000B065B"/>
    <w:rsid w:val="000B10C4"/>
    <w:rsid w:val="000B1157"/>
    <w:rsid w:val="000B2A96"/>
    <w:rsid w:val="000B2FC0"/>
    <w:rsid w:val="000B326F"/>
    <w:rsid w:val="000B391E"/>
    <w:rsid w:val="000B4E46"/>
    <w:rsid w:val="000B6124"/>
    <w:rsid w:val="000C1AA6"/>
    <w:rsid w:val="000C25B8"/>
    <w:rsid w:val="000C2EA1"/>
    <w:rsid w:val="000C3C80"/>
    <w:rsid w:val="000C3E78"/>
    <w:rsid w:val="000C6BD9"/>
    <w:rsid w:val="000C75D0"/>
    <w:rsid w:val="000D09DE"/>
    <w:rsid w:val="000D2475"/>
    <w:rsid w:val="000D2901"/>
    <w:rsid w:val="000D3F6B"/>
    <w:rsid w:val="000D6EC1"/>
    <w:rsid w:val="000E1DC7"/>
    <w:rsid w:val="000E33A7"/>
    <w:rsid w:val="000E4053"/>
    <w:rsid w:val="000E507D"/>
    <w:rsid w:val="000E65C0"/>
    <w:rsid w:val="000E66BC"/>
    <w:rsid w:val="000E6CF1"/>
    <w:rsid w:val="000E7556"/>
    <w:rsid w:val="000E7883"/>
    <w:rsid w:val="000E78CA"/>
    <w:rsid w:val="000F0202"/>
    <w:rsid w:val="000F0282"/>
    <w:rsid w:val="000F11AD"/>
    <w:rsid w:val="000F24B7"/>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0E8A"/>
    <w:rsid w:val="0012100F"/>
    <w:rsid w:val="00121C06"/>
    <w:rsid w:val="00122120"/>
    <w:rsid w:val="00122919"/>
    <w:rsid w:val="001238B2"/>
    <w:rsid w:val="00123AC6"/>
    <w:rsid w:val="001268ED"/>
    <w:rsid w:val="00126B33"/>
    <w:rsid w:val="00127404"/>
    <w:rsid w:val="0012751C"/>
    <w:rsid w:val="001301C6"/>
    <w:rsid w:val="001311C2"/>
    <w:rsid w:val="00133BAB"/>
    <w:rsid w:val="00134549"/>
    <w:rsid w:val="00134A06"/>
    <w:rsid w:val="00134BAA"/>
    <w:rsid w:val="00136050"/>
    <w:rsid w:val="00137B7B"/>
    <w:rsid w:val="00141F92"/>
    <w:rsid w:val="00142148"/>
    <w:rsid w:val="0014240F"/>
    <w:rsid w:val="00143174"/>
    <w:rsid w:val="0014355A"/>
    <w:rsid w:val="00144A33"/>
    <w:rsid w:val="00146A0D"/>
    <w:rsid w:val="00146A59"/>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2F4"/>
    <w:rsid w:val="0017170D"/>
    <w:rsid w:val="00171EC5"/>
    <w:rsid w:val="00172744"/>
    <w:rsid w:val="00173053"/>
    <w:rsid w:val="00173493"/>
    <w:rsid w:val="001750FB"/>
    <w:rsid w:val="001761C1"/>
    <w:rsid w:val="00177447"/>
    <w:rsid w:val="001804A7"/>
    <w:rsid w:val="00181456"/>
    <w:rsid w:val="00182487"/>
    <w:rsid w:val="00182612"/>
    <w:rsid w:val="00183EEE"/>
    <w:rsid w:val="0018696D"/>
    <w:rsid w:val="0019099F"/>
    <w:rsid w:val="00192D27"/>
    <w:rsid w:val="001943B0"/>
    <w:rsid w:val="00194C44"/>
    <w:rsid w:val="00195B91"/>
    <w:rsid w:val="001A0DD2"/>
    <w:rsid w:val="001A0E48"/>
    <w:rsid w:val="001A23D2"/>
    <w:rsid w:val="001A4B9A"/>
    <w:rsid w:val="001A4F26"/>
    <w:rsid w:val="001A6521"/>
    <w:rsid w:val="001A7019"/>
    <w:rsid w:val="001A70CB"/>
    <w:rsid w:val="001B2199"/>
    <w:rsid w:val="001C10A4"/>
    <w:rsid w:val="001C23C1"/>
    <w:rsid w:val="001C2A5B"/>
    <w:rsid w:val="001C2F51"/>
    <w:rsid w:val="001C3631"/>
    <w:rsid w:val="001C3CB6"/>
    <w:rsid w:val="001C6968"/>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0552"/>
    <w:rsid w:val="0021105B"/>
    <w:rsid w:val="002126B8"/>
    <w:rsid w:val="00215ABB"/>
    <w:rsid w:val="00216AD6"/>
    <w:rsid w:val="00217189"/>
    <w:rsid w:val="00217E7E"/>
    <w:rsid w:val="00217FEC"/>
    <w:rsid w:val="00224221"/>
    <w:rsid w:val="00224DA2"/>
    <w:rsid w:val="00226B64"/>
    <w:rsid w:val="0022712F"/>
    <w:rsid w:val="00231159"/>
    <w:rsid w:val="00231AF2"/>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4E0"/>
    <w:rsid w:val="00247BD1"/>
    <w:rsid w:val="00247EB1"/>
    <w:rsid w:val="00250262"/>
    <w:rsid w:val="00250538"/>
    <w:rsid w:val="00251BCE"/>
    <w:rsid w:val="00255C77"/>
    <w:rsid w:val="0025787C"/>
    <w:rsid w:val="00261660"/>
    <w:rsid w:val="0026652B"/>
    <w:rsid w:val="00266A0A"/>
    <w:rsid w:val="002676D7"/>
    <w:rsid w:val="00267C91"/>
    <w:rsid w:val="00267E60"/>
    <w:rsid w:val="0027067C"/>
    <w:rsid w:val="00274D3A"/>
    <w:rsid w:val="00274E46"/>
    <w:rsid w:val="002762CB"/>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85F"/>
    <w:rsid w:val="002C2C43"/>
    <w:rsid w:val="002C3C33"/>
    <w:rsid w:val="002C5256"/>
    <w:rsid w:val="002C75CF"/>
    <w:rsid w:val="002D04B2"/>
    <w:rsid w:val="002D0AE2"/>
    <w:rsid w:val="002D1CAF"/>
    <w:rsid w:val="002D335B"/>
    <w:rsid w:val="002D3DBF"/>
    <w:rsid w:val="002D5D12"/>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6F1E"/>
    <w:rsid w:val="00307046"/>
    <w:rsid w:val="00311B8D"/>
    <w:rsid w:val="00313371"/>
    <w:rsid w:val="00313884"/>
    <w:rsid w:val="00314B6E"/>
    <w:rsid w:val="00315EF8"/>
    <w:rsid w:val="003170E1"/>
    <w:rsid w:val="00317C0B"/>
    <w:rsid w:val="0032306C"/>
    <w:rsid w:val="0033080F"/>
    <w:rsid w:val="00330AA6"/>
    <w:rsid w:val="0033109A"/>
    <w:rsid w:val="003314AB"/>
    <w:rsid w:val="00331500"/>
    <w:rsid w:val="00332E25"/>
    <w:rsid w:val="00334588"/>
    <w:rsid w:val="00335528"/>
    <w:rsid w:val="0034187D"/>
    <w:rsid w:val="003429CE"/>
    <w:rsid w:val="0034380B"/>
    <w:rsid w:val="0034381B"/>
    <w:rsid w:val="0034437E"/>
    <w:rsid w:val="003447FB"/>
    <w:rsid w:val="00346E10"/>
    <w:rsid w:val="0035047C"/>
    <w:rsid w:val="00352333"/>
    <w:rsid w:val="00352793"/>
    <w:rsid w:val="00355C16"/>
    <w:rsid w:val="003570F2"/>
    <w:rsid w:val="0035775F"/>
    <w:rsid w:val="00360266"/>
    <w:rsid w:val="003605A9"/>
    <w:rsid w:val="003605C4"/>
    <w:rsid w:val="003606C5"/>
    <w:rsid w:val="00362F8D"/>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4B77"/>
    <w:rsid w:val="003A62F2"/>
    <w:rsid w:val="003A679B"/>
    <w:rsid w:val="003B30F0"/>
    <w:rsid w:val="003B3358"/>
    <w:rsid w:val="003B592E"/>
    <w:rsid w:val="003B5B85"/>
    <w:rsid w:val="003B7306"/>
    <w:rsid w:val="003B7F0A"/>
    <w:rsid w:val="003B7F86"/>
    <w:rsid w:val="003C2D3C"/>
    <w:rsid w:val="003C573F"/>
    <w:rsid w:val="003C5DEE"/>
    <w:rsid w:val="003D2D8F"/>
    <w:rsid w:val="003D3801"/>
    <w:rsid w:val="003D61D4"/>
    <w:rsid w:val="003D6285"/>
    <w:rsid w:val="003D7AA1"/>
    <w:rsid w:val="003D7E0A"/>
    <w:rsid w:val="003E0018"/>
    <w:rsid w:val="003E0723"/>
    <w:rsid w:val="003E1FD8"/>
    <w:rsid w:val="003E2725"/>
    <w:rsid w:val="003E40E1"/>
    <w:rsid w:val="003E423F"/>
    <w:rsid w:val="003E59C7"/>
    <w:rsid w:val="003E7B80"/>
    <w:rsid w:val="003F03D8"/>
    <w:rsid w:val="003F084B"/>
    <w:rsid w:val="003F089D"/>
    <w:rsid w:val="003F1D1B"/>
    <w:rsid w:val="003F74A9"/>
    <w:rsid w:val="003F76C2"/>
    <w:rsid w:val="003F77B4"/>
    <w:rsid w:val="004004D5"/>
    <w:rsid w:val="004007F0"/>
    <w:rsid w:val="00401A10"/>
    <w:rsid w:val="00401E91"/>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6D64"/>
    <w:rsid w:val="004378DC"/>
    <w:rsid w:val="004422DB"/>
    <w:rsid w:val="00442382"/>
    <w:rsid w:val="00442735"/>
    <w:rsid w:val="004434F2"/>
    <w:rsid w:val="00444969"/>
    <w:rsid w:val="004462CC"/>
    <w:rsid w:val="00446768"/>
    <w:rsid w:val="0045193C"/>
    <w:rsid w:val="0045201E"/>
    <w:rsid w:val="00452B22"/>
    <w:rsid w:val="0045300A"/>
    <w:rsid w:val="00453CDE"/>
    <w:rsid w:val="00455117"/>
    <w:rsid w:val="00457E77"/>
    <w:rsid w:val="00461DA8"/>
    <w:rsid w:val="00463786"/>
    <w:rsid w:val="00464305"/>
    <w:rsid w:val="004646F1"/>
    <w:rsid w:val="004648E9"/>
    <w:rsid w:val="0046509E"/>
    <w:rsid w:val="004652A5"/>
    <w:rsid w:val="00465616"/>
    <w:rsid w:val="00467C5A"/>
    <w:rsid w:val="00470CB1"/>
    <w:rsid w:val="00470D57"/>
    <w:rsid w:val="004751F1"/>
    <w:rsid w:val="00475E66"/>
    <w:rsid w:val="004823D7"/>
    <w:rsid w:val="00482850"/>
    <w:rsid w:val="00486056"/>
    <w:rsid w:val="00487109"/>
    <w:rsid w:val="00490415"/>
    <w:rsid w:val="00491DAB"/>
    <w:rsid w:val="00493D41"/>
    <w:rsid w:val="004945D6"/>
    <w:rsid w:val="004974D7"/>
    <w:rsid w:val="004A0F2B"/>
    <w:rsid w:val="004A2050"/>
    <w:rsid w:val="004A2EEC"/>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67CB"/>
    <w:rsid w:val="004F7ADA"/>
    <w:rsid w:val="0050011B"/>
    <w:rsid w:val="00500986"/>
    <w:rsid w:val="005045F0"/>
    <w:rsid w:val="005070D4"/>
    <w:rsid w:val="0051347A"/>
    <w:rsid w:val="005150DC"/>
    <w:rsid w:val="00516441"/>
    <w:rsid w:val="0051764C"/>
    <w:rsid w:val="005209E5"/>
    <w:rsid w:val="00523E57"/>
    <w:rsid w:val="00526BAB"/>
    <w:rsid w:val="00527150"/>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33A6"/>
    <w:rsid w:val="00576CC0"/>
    <w:rsid w:val="00577705"/>
    <w:rsid w:val="005804B5"/>
    <w:rsid w:val="00580658"/>
    <w:rsid w:val="00583DF4"/>
    <w:rsid w:val="00583EDD"/>
    <w:rsid w:val="00584443"/>
    <w:rsid w:val="0058582A"/>
    <w:rsid w:val="00591F76"/>
    <w:rsid w:val="0059384F"/>
    <w:rsid w:val="00595476"/>
    <w:rsid w:val="00595DBE"/>
    <w:rsid w:val="0059615C"/>
    <w:rsid w:val="00596474"/>
    <w:rsid w:val="00597DD9"/>
    <w:rsid w:val="005A138A"/>
    <w:rsid w:val="005A7F8C"/>
    <w:rsid w:val="005B06BD"/>
    <w:rsid w:val="005B0E73"/>
    <w:rsid w:val="005B1677"/>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3F1E"/>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B3B"/>
    <w:rsid w:val="00617FF4"/>
    <w:rsid w:val="006209A2"/>
    <w:rsid w:val="00621B02"/>
    <w:rsid w:val="00625115"/>
    <w:rsid w:val="00626DC7"/>
    <w:rsid w:val="006303E8"/>
    <w:rsid w:val="006320A1"/>
    <w:rsid w:val="00632725"/>
    <w:rsid w:val="006356AA"/>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7F79"/>
    <w:rsid w:val="0066130B"/>
    <w:rsid w:val="006613F1"/>
    <w:rsid w:val="00661AFC"/>
    <w:rsid w:val="00661B3E"/>
    <w:rsid w:val="0066216D"/>
    <w:rsid w:val="006627ED"/>
    <w:rsid w:val="00663584"/>
    <w:rsid w:val="00663E96"/>
    <w:rsid w:val="00664DC6"/>
    <w:rsid w:val="00667AD0"/>
    <w:rsid w:val="0067074A"/>
    <w:rsid w:val="00671121"/>
    <w:rsid w:val="0067166F"/>
    <w:rsid w:val="00671B57"/>
    <w:rsid w:val="00672500"/>
    <w:rsid w:val="0067324F"/>
    <w:rsid w:val="0067331E"/>
    <w:rsid w:val="00674CFF"/>
    <w:rsid w:val="00675341"/>
    <w:rsid w:val="00676F94"/>
    <w:rsid w:val="0068107E"/>
    <w:rsid w:val="006812EE"/>
    <w:rsid w:val="00681CA0"/>
    <w:rsid w:val="0068483D"/>
    <w:rsid w:val="00684B5E"/>
    <w:rsid w:val="00685297"/>
    <w:rsid w:val="0068766C"/>
    <w:rsid w:val="006901FF"/>
    <w:rsid w:val="00690D75"/>
    <w:rsid w:val="00695564"/>
    <w:rsid w:val="006974BE"/>
    <w:rsid w:val="006976E7"/>
    <w:rsid w:val="006A0A88"/>
    <w:rsid w:val="006A5A5A"/>
    <w:rsid w:val="006B137F"/>
    <w:rsid w:val="006B13B6"/>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955"/>
    <w:rsid w:val="006F3C3D"/>
    <w:rsid w:val="006F59BC"/>
    <w:rsid w:val="006F6318"/>
    <w:rsid w:val="006F6515"/>
    <w:rsid w:val="006F6813"/>
    <w:rsid w:val="006F7863"/>
    <w:rsid w:val="00700D3B"/>
    <w:rsid w:val="00700DE5"/>
    <w:rsid w:val="0070112C"/>
    <w:rsid w:val="00701ECA"/>
    <w:rsid w:val="00704BD8"/>
    <w:rsid w:val="00705023"/>
    <w:rsid w:val="007104A8"/>
    <w:rsid w:val="00712846"/>
    <w:rsid w:val="00712C06"/>
    <w:rsid w:val="00712FEF"/>
    <w:rsid w:val="00715C1A"/>
    <w:rsid w:val="00717D9B"/>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47567"/>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5E2F"/>
    <w:rsid w:val="007770F7"/>
    <w:rsid w:val="007776D1"/>
    <w:rsid w:val="0078119E"/>
    <w:rsid w:val="00782601"/>
    <w:rsid w:val="00782C76"/>
    <w:rsid w:val="007833DC"/>
    <w:rsid w:val="00783A40"/>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B748C"/>
    <w:rsid w:val="007C1F19"/>
    <w:rsid w:val="007C22BE"/>
    <w:rsid w:val="007C3E7E"/>
    <w:rsid w:val="007C4325"/>
    <w:rsid w:val="007D1202"/>
    <w:rsid w:val="007D1A48"/>
    <w:rsid w:val="007D3A6D"/>
    <w:rsid w:val="007D4C2D"/>
    <w:rsid w:val="007D4CA2"/>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5A66"/>
    <w:rsid w:val="00817E7D"/>
    <w:rsid w:val="00817FB4"/>
    <w:rsid w:val="008203A3"/>
    <w:rsid w:val="00820435"/>
    <w:rsid w:val="008211D2"/>
    <w:rsid w:val="00822198"/>
    <w:rsid w:val="008225A0"/>
    <w:rsid w:val="00822995"/>
    <w:rsid w:val="00826146"/>
    <w:rsid w:val="00826D56"/>
    <w:rsid w:val="00832B5F"/>
    <w:rsid w:val="008357D4"/>
    <w:rsid w:val="008363C6"/>
    <w:rsid w:val="008439A7"/>
    <w:rsid w:val="00843FAC"/>
    <w:rsid w:val="0084529F"/>
    <w:rsid w:val="00845448"/>
    <w:rsid w:val="008455CF"/>
    <w:rsid w:val="00845A40"/>
    <w:rsid w:val="008478B8"/>
    <w:rsid w:val="00853593"/>
    <w:rsid w:val="0085531B"/>
    <w:rsid w:val="00857086"/>
    <w:rsid w:val="008605CD"/>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BEB"/>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5AC"/>
    <w:rsid w:val="008D171F"/>
    <w:rsid w:val="008D1B98"/>
    <w:rsid w:val="008D3863"/>
    <w:rsid w:val="008D3B4B"/>
    <w:rsid w:val="008D3DA8"/>
    <w:rsid w:val="008D5FF0"/>
    <w:rsid w:val="008D7A7F"/>
    <w:rsid w:val="008E155D"/>
    <w:rsid w:val="008E27E4"/>
    <w:rsid w:val="008E3460"/>
    <w:rsid w:val="008E4021"/>
    <w:rsid w:val="008E4178"/>
    <w:rsid w:val="008E470A"/>
    <w:rsid w:val="008E4A59"/>
    <w:rsid w:val="008E60EA"/>
    <w:rsid w:val="008E60F8"/>
    <w:rsid w:val="008E671B"/>
    <w:rsid w:val="008E6A7F"/>
    <w:rsid w:val="008E6CE4"/>
    <w:rsid w:val="008E7B9D"/>
    <w:rsid w:val="008E7D7E"/>
    <w:rsid w:val="008F11A4"/>
    <w:rsid w:val="008F1641"/>
    <w:rsid w:val="008F1D11"/>
    <w:rsid w:val="008F26AE"/>
    <w:rsid w:val="008F275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1BC"/>
    <w:rsid w:val="00915844"/>
    <w:rsid w:val="00915F1D"/>
    <w:rsid w:val="00916661"/>
    <w:rsid w:val="00916926"/>
    <w:rsid w:val="00920430"/>
    <w:rsid w:val="00921FE8"/>
    <w:rsid w:val="00923194"/>
    <w:rsid w:val="00923C29"/>
    <w:rsid w:val="00923EE6"/>
    <w:rsid w:val="00926ADC"/>
    <w:rsid w:val="00927270"/>
    <w:rsid w:val="0093038E"/>
    <w:rsid w:val="009304ED"/>
    <w:rsid w:val="00931491"/>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795"/>
    <w:rsid w:val="00955FA6"/>
    <w:rsid w:val="00956578"/>
    <w:rsid w:val="00956EBC"/>
    <w:rsid w:val="00960583"/>
    <w:rsid w:val="00960990"/>
    <w:rsid w:val="00961B99"/>
    <w:rsid w:val="009624AB"/>
    <w:rsid w:val="00962CCB"/>
    <w:rsid w:val="00962CE0"/>
    <w:rsid w:val="0096352D"/>
    <w:rsid w:val="00964F06"/>
    <w:rsid w:val="00965A03"/>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C25"/>
    <w:rsid w:val="00997F5B"/>
    <w:rsid w:val="009A42CC"/>
    <w:rsid w:val="009A43D2"/>
    <w:rsid w:val="009A563A"/>
    <w:rsid w:val="009A5A0B"/>
    <w:rsid w:val="009A75A1"/>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686"/>
    <w:rsid w:val="009E19E9"/>
    <w:rsid w:val="009E26E6"/>
    <w:rsid w:val="009E4058"/>
    <w:rsid w:val="009E4605"/>
    <w:rsid w:val="009E470E"/>
    <w:rsid w:val="009E6B3E"/>
    <w:rsid w:val="009F2C45"/>
    <w:rsid w:val="009F31C8"/>
    <w:rsid w:val="009F7F99"/>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0A85"/>
    <w:rsid w:val="00A247CA"/>
    <w:rsid w:val="00A24DA3"/>
    <w:rsid w:val="00A25BAF"/>
    <w:rsid w:val="00A300F9"/>
    <w:rsid w:val="00A309EA"/>
    <w:rsid w:val="00A31BE5"/>
    <w:rsid w:val="00A34D3D"/>
    <w:rsid w:val="00A35D4F"/>
    <w:rsid w:val="00A412D8"/>
    <w:rsid w:val="00A4181C"/>
    <w:rsid w:val="00A424D7"/>
    <w:rsid w:val="00A440BD"/>
    <w:rsid w:val="00A4562F"/>
    <w:rsid w:val="00A45701"/>
    <w:rsid w:val="00A46354"/>
    <w:rsid w:val="00A47678"/>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6ACB"/>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1DF5"/>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68D7"/>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07E5B"/>
    <w:rsid w:val="00B11134"/>
    <w:rsid w:val="00B11B6E"/>
    <w:rsid w:val="00B122C2"/>
    <w:rsid w:val="00B1546E"/>
    <w:rsid w:val="00B17615"/>
    <w:rsid w:val="00B20472"/>
    <w:rsid w:val="00B22C39"/>
    <w:rsid w:val="00B232FC"/>
    <w:rsid w:val="00B24BD8"/>
    <w:rsid w:val="00B25B7A"/>
    <w:rsid w:val="00B27968"/>
    <w:rsid w:val="00B27A64"/>
    <w:rsid w:val="00B30B09"/>
    <w:rsid w:val="00B30E92"/>
    <w:rsid w:val="00B332A3"/>
    <w:rsid w:val="00B33842"/>
    <w:rsid w:val="00B340B4"/>
    <w:rsid w:val="00B34C25"/>
    <w:rsid w:val="00B41B40"/>
    <w:rsid w:val="00B42005"/>
    <w:rsid w:val="00B4221D"/>
    <w:rsid w:val="00B42573"/>
    <w:rsid w:val="00B42C63"/>
    <w:rsid w:val="00B44472"/>
    <w:rsid w:val="00B44629"/>
    <w:rsid w:val="00B4652E"/>
    <w:rsid w:val="00B46EF4"/>
    <w:rsid w:val="00B46FB9"/>
    <w:rsid w:val="00B50603"/>
    <w:rsid w:val="00B51D14"/>
    <w:rsid w:val="00B53076"/>
    <w:rsid w:val="00B53F6F"/>
    <w:rsid w:val="00B56277"/>
    <w:rsid w:val="00B56801"/>
    <w:rsid w:val="00B568F2"/>
    <w:rsid w:val="00B6110E"/>
    <w:rsid w:val="00B65A66"/>
    <w:rsid w:val="00B66EE2"/>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1CAA"/>
    <w:rsid w:val="00B825A5"/>
    <w:rsid w:val="00B8318B"/>
    <w:rsid w:val="00B84988"/>
    <w:rsid w:val="00B857BE"/>
    <w:rsid w:val="00B8584C"/>
    <w:rsid w:val="00B85C2F"/>
    <w:rsid w:val="00B8669E"/>
    <w:rsid w:val="00B86E2B"/>
    <w:rsid w:val="00B8799F"/>
    <w:rsid w:val="00B90834"/>
    <w:rsid w:val="00B90F3A"/>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6EB"/>
    <w:rsid w:val="00BE6D7C"/>
    <w:rsid w:val="00BE7FBF"/>
    <w:rsid w:val="00BF27F7"/>
    <w:rsid w:val="00BF282D"/>
    <w:rsid w:val="00BF500A"/>
    <w:rsid w:val="00BF5249"/>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598E"/>
    <w:rsid w:val="00C26745"/>
    <w:rsid w:val="00C26BC3"/>
    <w:rsid w:val="00C30609"/>
    <w:rsid w:val="00C30FA4"/>
    <w:rsid w:val="00C31249"/>
    <w:rsid w:val="00C341E7"/>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39F1"/>
    <w:rsid w:val="00C64EBC"/>
    <w:rsid w:val="00C653B5"/>
    <w:rsid w:val="00C70785"/>
    <w:rsid w:val="00C71294"/>
    <w:rsid w:val="00C7145D"/>
    <w:rsid w:val="00C725BD"/>
    <w:rsid w:val="00C73431"/>
    <w:rsid w:val="00C73694"/>
    <w:rsid w:val="00C74CF7"/>
    <w:rsid w:val="00C763E6"/>
    <w:rsid w:val="00C80B84"/>
    <w:rsid w:val="00C81BD7"/>
    <w:rsid w:val="00C82381"/>
    <w:rsid w:val="00C82DD4"/>
    <w:rsid w:val="00C84365"/>
    <w:rsid w:val="00C86A01"/>
    <w:rsid w:val="00C904FD"/>
    <w:rsid w:val="00C91FCB"/>
    <w:rsid w:val="00C927CC"/>
    <w:rsid w:val="00C92A7E"/>
    <w:rsid w:val="00C93700"/>
    <w:rsid w:val="00C93D0E"/>
    <w:rsid w:val="00C940D2"/>
    <w:rsid w:val="00C94201"/>
    <w:rsid w:val="00C95ED6"/>
    <w:rsid w:val="00C96B43"/>
    <w:rsid w:val="00C97465"/>
    <w:rsid w:val="00CA098E"/>
    <w:rsid w:val="00CA20E7"/>
    <w:rsid w:val="00CA322D"/>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085"/>
    <w:rsid w:val="00CB6106"/>
    <w:rsid w:val="00CC06A2"/>
    <w:rsid w:val="00CC0720"/>
    <w:rsid w:val="00CC0A05"/>
    <w:rsid w:val="00CC4CB1"/>
    <w:rsid w:val="00CC5086"/>
    <w:rsid w:val="00CC59D4"/>
    <w:rsid w:val="00CC6138"/>
    <w:rsid w:val="00CC6643"/>
    <w:rsid w:val="00CC6C23"/>
    <w:rsid w:val="00CD128F"/>
    <w:rsid w:val="00CE0D19"/>
    <w:rsid w:val="00CE271C"/>
    <w:rsid w:val="00CE5ABD"/>
    <w:rsid w:val="00CE60BF"/>
    <w:rsid w:val="00CE6950"/>
    <w:rsid w:val="00CE6EAE"/>
    <w:rsid w:val="00CE7088"/>
    <w:rsid w:val="00CF2A8F"/>
    <w:rsid w:val="00CF30D2"/>
    <w:rsid w:val="00CF4C56"/>
    <w:rsid w:val="00CF6A66"/>
    <w:rsid w:val="00CF6E0B"/>
    <w:rsid w:val="00CF7136"/>
    <w:rsid w:val="00D00B51"/>
    <w:rsid w:val="00D01A50"/>
    <w:rsid w:val="00D01CBA"/>
    <w:rsid w:val="00D03F41"/>
    <w:rsid w:val="00D0504A"/>
    <w:rsid w:val="00D06004"/>
    <w:rsid w:val="00D063B8"/>
    <w:rsid w:val="00D07E6D"/>
    <w:rsid w:val="00D1057C"/>
    <w:rsid w:val="00D10FB2"/>
    <w:rsid w:val="00D12733"/>
    <w:rsid w:val="00D13851"/>
    <w:rsid w:val="00D13FB7"/>
    <w:rsid w:val="00D14C7B"/>
    <w:rsid w:val="00D1647D"/>
    <w:rsid w:val="00D17A38"/>
    <w:rsid w:val="00D22696"/>
    <w:rsid w:val="00D245AE"/>
    <w:rsid w:val="00D26387"/>
    <w:rsid w:val="00D33105"/>
    <w:rsid w:val="00D36152"/>
    <w:rsid w:val="00D40486"/>
    <w:rsid w:val="00D41555"/>
    <w:rsid w:val="00D4188B"/>
    <w:rsid w:val="00D42233"/>
    <w:rsid w:val="00D42533"/>
    <w:rsid w:val="00D42C48"/>
    <w:rsid w:val="00D4355D"/>
    <w:rsid w:val="00D43CC7"/>
    <w:rsid w:val="00D46CC5"/>
    <w:rsid w:val="00D50107"/>
    <w:rsid w:val="00D5020D"/>
    <w:rsid w:val="00D5029D"/>
    <w:rsid w:val="00D5056C"/>
    <w:rsid w:val="00D50822"/>
    <w:rsid w:val="00D51B7B"/>
    <w:rsid w:val="00D51D08"/>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7D1"/>
    <w:rsid w:val="00D87E14"/>
    <w:rsid w:val="00D87FF4"/>
    <w:rsid w:val="00D91DAF"/>
    <w:rsid w:val="00D921FD"/>
    <w:rsid w:val="00D92DF2"/>
    <w:rsid w:val="00D92FC3"/>
    <w:rsid w:val="00D956AE"/>
    <w:rsid w:val="00D9750F"/>
    <w:rsid w:val="00DA043C"/>
    <w:rsid w:val="00DA18EC"/>
    <w:rsid w:val="00DA35AC"/>
    <w:rsid w:val="00DA3B74"/>
    <w:rsid w:val="00DA5497"/>
    <w:rsid w:val="00DA5ED0"/>
    <w:rsid w:val="00DA68F0"/>
    <w:rsid w:val="00DB68E8"/>
    <w:rsid w:val="00DC22DA"/>
    <w:rsid w:val="00DC29B9"/>
    <w:rsid w:val="00DC2DAB"/>
    <w:rsid w:val="00DC2E14"/>
    <w:rsid w:val="00DC4095"/>
    <w:rsid w:val="00DC4176"/>
    <w:rsid w:val="00DC4CA0"/>
    <w:rsid w:val="00DC55C2"/>
    <w:rsid w:val="00DC5BAB"/>
    <w:rsid w:val="00DC63E3"/>
    <w:rsid w:val="00DC6DC6"/>
    <w:rsid w:val="00DD3E26"/>
    <w:rsid w:val="00DD53B0"/>
    <w:rsid w:val="00DE11F8"/>
    <w:rsid w:val="00DE1689"/>
    <w:rsid w:val="00DE2140"/>
    <w:rsid w:val="00DE34FC"/>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46F5"/>
    <w:rsid w:val="00E15B22"/>
    <w:rsid w:val="00E1717E"/>
    <w:rsid w:val="00E21946"/>
    <w:rsid w:val="00E2209B"/>
    <w:rsid w:val="00E25268"/>
    <w:rsid w:val="00E30C23"/>
    <w:rsid w:val="00E3256E"/>
    <w:rsid w:val="00E33FE8"/>
    <w:rsid w:val="00E35AD5"/>
    <w:rsid w:val="00E36C1A"/>
    <w:rsid w:val="00E37F04"/>
    <w:rsid w:val="00E40567"/>
    <w:rsid w:val="00E40BAF"/>
    <w:rsid w:val="00E41650"/>
    <w:rsid w:val="00E41902"/>
    <w:rsid w:val="00E4217B"/>
    <w:rsid w:val="00E429AD"/>
    <w:rsid w:val="00E42E7F"/>
    <w:rsid w:val="00E44593"/>
    <w:rsid w:val="00E44C43"/>
    <w:rsid w:val="00E45094"/>
    <w:rsid w:val="00E454AD"/>
    <w:rsid w:val="00E459C0"/>
    <w:rsid w:val="00E46182"/>
    <w:rsid w:val="00E501CB"/>
    <w:rsid w:val="00E503CE"/>
    <w:rsid w:val="00E504D1"/>
    <w:rsid w:val="00E50820"/>
    <w:rsid w:val="00E50EF3"/>
    <w:rsid w:val="00E5112B"/>
    <w:rsid w:val="00E52B5F"/>
    <w:rsid w:val="00E550FD"/>
    <w:rsid w:val="00E55B72"/>
    <w:rsid w:val="00E5675D"/>
    <w:rsid w:val="00E57AC3"/>
    <w:rsid w:val="00E60E45"/>
    <w:rsid w:val="00E6161B"/>
    <w:rsid w:val="00E61EB7"/>
    <w:rsid w:val="00E62F28"/>
    <w:rsid w:val="00E66E51"/>
    <w:rsid w:val="00E67264"/>
    <w:rsid w:val="00E7113C"/>
    <w:rsid w:val="00E726D8"/>
    <w:rsid w:val="00E731B2"/>
    <w:rsid w:val="00E745E8"/>
    <w:rsid w:val="00E775E1"/>
    <w:rsid w:val="00E77EA5"/>
    <w:rsid w:val="00E805FB"/>
    <w:rsid w:val="00E83A9B"/>
    <w:rsid w:val="00E849E0"/>
    <w:rsid w:val="00E85478"/>
    <w:rsid w:val="00E85A7B"/>
    <w:rsid w:val="00E90F96"/>
    <w:rsid w:val="00E91938"/>
    <w:rsid w:val="00E93F76"/>
    <w:rsid w:val="00E940DE"/>
    <w:rsid w:val="00E9461D"/>
    <w:rsid w:val="00E9582F"/>
    <w:rsid w:val="00EA316B"/>
    <w:rsid w:val="00EA53FD"/>
    <w:rsid w:val="00EA6245"/>
    <w:rsid w:val="00EA637B"/>
    <w:rsid w:val="00EB0AB1"/>
    <w:rsid w:val="00EB3B83"/>
    <w:rsid w:val="00EB3E17"/>
    <w:rsid w:val="00EB7362"/>
    <w:rsid w:val="00EC0BFB"/>
    <w:rsid w:val="00EC2DC3"/>
    <w:rsid w:val="00EC3109"/>
    <w:rsid w:val="00EC3366"/>
    <w:rsid w:val="00EC3C44"/>
    <w:rsid w:val="00EC4555"/>
    <w:rsid w:val="00EC5916"/>
    <w:rsid w:val="00EC6778"/>
    <w:rsid w:val="00EC6A13"/>
    <w:rsid w:val="00ED1B72"/>
    <w:rsid w:val="00ED1E94"/>
    <w:rsid w:val="00ED37E5"/>
    <w:rsid w:val="00ED422F"/>
    <w:rsid w:val="00ED4624"/>
    <w:rsid w:val="00ED6B01"/>
    <w:rsid w:val="00EE0CB0"/>
    <w:rsid w:val="00EE0D6D"/>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35FF"/>
    <w:rsid w:val="00F1449E"/>
    <w:rsid w:val="00F148C1"/>
    <w:rsid w:val="00F14D7B"/>
    <w:rsid w:val="00F202E0"/>
    <w:rsid w:val="00F203ED"/>
    <w:rsid w:val="00F21600"/>
    <w:rsid w:val="00F21F62"/>
    <w:rsid w:val="00F22360"/>
    <w:rsid w:val="00F22379"/>
    <w:rsid w:val="00F228EC"/>
    <w:rsid w:val="00F25920"/>
    <w:rsid w:val="00F25F42"/>
    <w:rsid w:val="00F27FF4"/>
    <w:rsid w:val="00F30BF5"/>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224"/>
    <w:rsid w:val="00F66807"/>
    <w:rsid w:val="00F67398"/>
    <w:rsid w:val="00F7026D"/>
    <w:rsid w:val="00F72DFC"/>
    <w:rsid w:val="00F73E96"/>
    <w:rsid w:val="00F74965"/>
    <w:rsid w:val="00F75DC6"/>
    <w:rsid w:val="00F75F54"/>
    <w:rsid w:val="00F7752F"/>
    <w:rsid w:val="00F808D1"/>
    <w:rsid w:val="00F8201A"/>
    <w:rsid w:val="00F839EC"/>
    <w:rsid w:val="00F857F2"/>
    <w:rsid w:val="00F86664"/>
    <w:rsid w:val="00F878D6"/>
    <w:rsid w:val="00F87B09"/>
    <w:rsid w:val="00F909A6"/>
    <w:rsid w:val="00F910AD"/>
    <w:rsid w:val="00F91E57"/>
    <w:rsid w:val="00F9247C"/>
    <w:rsid w:val="00F9257C"/>
    <w:rsid w:val="00F9496C"/>
    <w:rsid w:val="00F96DA6"/>
    <w:rsid w:val="00F970FC"/>
    <w:rsid w:val="00F97379"/>
    <w:rsid w:val="00F97EDB"/>
    <w:rsid w:val="00FA156C"/>
    <w:rsid w:val="00FA21AB"/>
    <w:rsid w:val="00FA39B8"/>
    <w:rsid w:val="00FA3BB8"/>
    <w:rsid w:val="00FA3CBE"/>
    <w:rsid w:val="00FA6224"/>
    <w:rsid w:val="00FA62BF"/>
    <w:rsid w:val="00FA6BDA"/>
    <w:rsid w:val="00FA727D"/>
    <w:rsid w:val="00FB05CB"/>
    <w:rsid w:val="00FB2EE6"/>
    <w:rsid w:val="00FB456D"/>
    <w:rsid w:val="00FB610F"/>
    <w:rsid w:val="00FB6FA5"/>
    <w:rsid w:val="00FB74B9"/>
    <w:rsid w:val="00FC0384"/>
    <w:rsid w:val="00FC0D06"/>
    <w:rsid w:val="00FC10CF"/>
    <w:rsid w:val="00FC1911"/>
    <w:rsid w:val="00FC34D1"/>
    <w:rsid w:val="00FC3966"/>
    <w:rsid w:val="00FC7A19"/>
    <w:rsid w:val="00FD0615"/>
    <w:rsid w:val="00FD1F84"/>
    <w:rsid w:val="00FD2639"/>
    <w:rsid w:val="00FD2A6B"/>
    <w:rsid w:val="00FD2B6C"/>
    <w:rsid w:val="00FD47B7"/>
    <w:rsid w:val="00FD5C92"/>
    <w:rsid w:val="00FD669E"/>
    <w:rsid w:val="00FD6A99"/>
    <w:rsid w:val="00FE2BC4"/>
    <w:rsid w:val="00FE541D"/>
    <w:rsid w:val="00FE6414"/>
    <w:rsid w:val="00FE6A35"/>
    <w:rsid w:val="00FE7719"/>
    <w:rsid w:val="00FE7E29"/>
    <w:rsid w:val="00FF1F53"/>
    <w:rsid w:val="00FF21A7"/>
    <w:rsid w:val="00FF2A67"/>
    <w:rsid w:val="00FF3A57"/>
    <w:rsid w:val="00FF4CE6"/>
    <w:rsid w:val="00FF5167"/>
    <w:rsid w:val="00FF568F"/>
    <w:rsid w:val="0518FE63"/>
    <w:rsid w:val="13F40B66"/>
    <w:rsid w:val="52338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5DC89"/>
  <w15:chartTrackingRefBased/>
  <w15:docId w15:val="{86F9E5AF-E91D-44D7-A6A6-D14B5689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ACB"/>
    <w:pPr>
      <w:overflowPunct w:val="0"/>
      <w:autoSpaceDE w:val="0"/>
      <w:autoSpaceDN w:val="0"/>
      <w:adjustRightInd w:val="0"/>
      <w:spacing w:after="180"/>
      <w:textAlignment w:val="baseline"/>
    </w:pPr>
    <w:rPr>
      <w:lang w:val="en-GB" w:eastAsia="en-US"/>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val="en-US"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val="en-US"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9493B"/>
    <w:rPr>
      <w:rFonts w:eastAsia="Batang"/>
      <w:lang w:val="en-GB" w:eastAsia="en-US"/>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eastAsia="en-US"/>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eastAsia="en-US"/>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EF3706"/>
    <w:pPr>
      <w:spacing w:before="120" w:after="0" w:line="280" w:lineRule="atLeast"/>
      <w:ind w:left="360" w:hanging="360"/>
      <w:jc w:val="both"/>
    </w:pPr>
    <w:rPr>
      <w:rFonts w:ascii="Bookman" w:eastAsia="MS Mincho"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eastAsia="en-US"/>
    </w:rPr>
  </w:style>
  <w:style w:type="paragraph" w:customStyle="1" w:styleId="ZC">
    <w:name w:val="ZC"/>
    <w:uiPriority w:val="99"/>
    <w:rsid w:val="00675341"/>
    <w:pPr>
      <w:spacing w:line="360" w:lineRule="atLeast"/>
      <w:jc w:val="center"/>
    </w:pPr>
    <w:rPr>
      <w:rFonts w:eastAsia="MS Mincho"/>
      <w:lang w:val="en-GB" w:eastAsia="en-US"/>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lang w:val="en-US" w:eastAsia="en-US"/>
    </w:rPr>
    <w:tblPr/>
  </w:style>
  <w:style w:type="paragraph" w:customStyle="1" w:styleId="TOC910">
    <w:name w:val="TOC 910"/>
    <w:basedOn w:val="TOC8"/>
    <w:rsid w:val="00EF3706"/>
    <w:pPr>
      <w:ind w:left="1418" w:hanging="1418"/>
    </w:pPr>
    <w:rPr>
      <w:rFonts w:eastAsia="MS Mincho"/>
      <w:lang w:eastAsia="ja-JP"/>
    </w:rPr>
  </w:style>
  <w:style w:type="paragraph" w:customStyle="1" w:styleId="Caption10">
    <w:name w:val="Caption10"/>
    <w:basedOn w:val="Normal"/>
    <w:next w:val="Normal"/>
    <w:rsid w:val="00EF3706"/>
    <w:pPr>
      <w:spacing w:before="120" w:after="120"/>
    </w:pPr>
    <w:rPr>
      <w:rFonts w:eastAsia="MS Mincho"/>
      <w:b/>
      <w:lang w:eastAsia="ja-JP"/>
    </w:rPr>
  </w:style>
  <w:style w:type="paragraph" w:customStyle="1" w:styleId="TableofFigures10">
    <w:name w:val="Table of Figures10"/>
    <w:basedOn w:val="Normal"/>
    <w:next w:val="Normal"/>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eastAsia="en-US"/>
    </w:rPr>
  </w:style>
  <w:style w:type="paragraph" w:customStyle="1" w:styleId="12">
    <w:name w:val="修订1"/>
    <w:hidden/>
    <w:uiPriority w:val="99"/>
    <w:semiHidden/>
    <w:rsid w:val="00EF3706"/>
    <w:rPr>
      <w:rFonts w:eastAsia="Batang"/>
      <w:lang w:val="en-GB" w:eastAsia="en-US"/>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eastAsia="en-US"/>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table" w:customStyle="1" w:styleId="TableGrid7">
    <w:name w:val="Table Grid7"/>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eastAsia="en-US"/>
    </w:rPr>
  </w:style>
  <w:style w:type="paragraph" w:customStyle="1" w:styleId="CharCharCharCharChar0">
    <w:name w:val="Char Char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0">
    <w:name w:val="(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semiHidden/>
    <w:rsid w:val="00EF37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0">
    <w:name w:val="(文字) (文字)3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3">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lang w:val="en-US" w:eastAsia="en-US"/>
    </w:rPr>
    <w:tblPr/>
  </w:style>
  <w:style w:type="table" w:customStyle="1" w:styleId="Tabellengitternetz12">
    <w:name w:val="Tabellengitternetz1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lang w:val="en-US" w:eastAsia="en-US"/>
    </w:rPr>
    <w:tblPr/>
  </w:style>
  <w:style w:type="table" w:customStyle="1" w:styleId="Tabellengitternetz13">
    <w:name w:val="Tabellengitternetz1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lang w:val="en-US" w:eastAsia="en-US"/>
    </w:rPr>
    <w:tblPr/>
  </w:style>
  <w:style w:type="table" w:customStyle="1" w:styleId="Tabellengitternetz14">
    <w:name w:val="Tabellengitternetz1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5">
    <w:name w:val="図表番号1"/>
    <w:basedOn w:val="Normal"/>
    <w:next w:val="Normal"/>
    <w:uiPriority w:val="99"/>
    <w:rsid w:val="00EF3706"/>
    <w:pPr>
      <w:spacing w:before="120" w:after="120"/>
    </w:pPr>
    <w:rPr>
      <w:rFonts w:eastAsia="MS Mincho"/>
      <w:b/>
      <w:lang w:eastAsia="en-GB"/>
    </w:rPr>
  </w:style>
  <w:style w:type="paragraph" w:customStyle="1" w:styleId="17">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8">
    <w:name w:val="表格格線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3">
    <w:name w:val="修订2"/>
    <w:hidden/>
    <w:uiPriority w:val="99"/>
    <w:semiHidden/>
    <w:rsid w:val="00EF3706"/>
    <w:rPr>
      <w:rFonts w:eastAsia="Batang"/>
      <w:lang w:val="en-GB" w:eastAsia="en-US"/>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9">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a">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eastAsia="en-US"/>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b">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e">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eastAsia="en-US"/>
    </w:rPr>
  </w:style>
  <w:style w:type="paragraph" w:customStyle="1" w:styleId="4a">
    <w:name w:val="修订4"/>
    <w:hidden/>
    <w:semiHidden/>
    <w:rsid w:val="00EF3706"/>
    <w:rPr>
      <w:rFonts w:eastAsia="Batang"/>
      <w:lang w:val="en-GB" w:eastAsia="en-US"/>
    </w:rPr>
  </w:style>
  <w:style w:type="table" w:customStyle="1" w:styleId="TableGrid30">
    <w:name w:val="Table Grid30"/>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3050306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9533390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5545">
      <w:bodyDiv w:val="1"/>
      <w:marLeft w:val="0"/>
      <w:marRight w:val="0"/>
      <w:marTop w:val="0"/>
      <w:marBottom w:val="0"/>
      <w:divBdr>
        <w:top w:val="none" w:sz="0" w:space="0" w:color="auto"/>
        <w:left w:val="none" w:sz="0" w:space="0" w:color="auto"/>
        <w:bottom w:val="none" w:sz="0" w:space="0" w:color="auto"/>
        <w:right w:val="none" w:sz="0" w:space="0" w:color="auto"/>
      </w:divBdr>
    </w:div>
    <w:div w:id="70505733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7674076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4398">
      <w:bodyDiv w:val="1"/>
      <w:marLeft w:val="0"/>
      <w:marRight w:val="0"/>
      <w:marTop w:val="0"/>
      <w:marBottom w:val="0"/>
      <w:divBdr>
        <w:top w:val="none" w:sz="0" w:space="0" w:color="auto"/>
        <w:left w:val="none" w:sz="0" w:space="0" w:color="auto"/>
        <w:bottom w:val="none" w:sz="0" w:space="0" w:color="auto"/>
        <w:right w:val="none" w:sz="0" w:space="0" w:color="auto"/>
      </w:divBdr>
      <w:divsChild>
        <w:div w:id="1735082744">
          <w:marLeft w:val="490"/>
          <w:marRight w:val="0"/>
          <w:marTop w:val="0"/>
          <w:marBottom w:val="16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181781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5AIRPNAIUNRU-1328258698-11369</_dlc_DocId>
    <_dlc_DocIdUrl xmlns="71c5aaf6-e6ce-465b-b873-5148d2a4c105">
      <Url>https://nokia.sharepoint.com/sites/c5g/5gradio/_layouts/15/DocIdRedir.aspx?ID=5AIRPNAIUNRU-1328258698-11369</Url>
      <Description>5AIRPNAIUNRU-1328258698-11369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5AAF540-926B-47D6-B0F6-C74CAA495A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D1A7C37-1669-4EA8-A773-68494972A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customXml/itemProps4.xml><?xml version="1.0" encoding="utf-8"?>
<ds:datastoreItem xmlns:ds="http://schemas.openxmlformats.org/officeDocument/2006/customXml" ds:itemID="{2183B74B-021D-4653-9706-7DD9F9CC3804}">
  <ds:schemaRefs>
    <ds:schemaRef ds:uri="http://schemas.microsoft.com/sharepoint/events"/>
  </ds:schemaRefs>
</ds:datastoreItem>
</file>

<file path=customXml/itemProps5.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6.xml><?xml version="1.0" encoding="utf-8"?>
<ds:datastoreItem xmlns:ds="http://schemas.openxmlformats.org/officeDocument/2006/customXml" ds:itemID="{1C6985F9-DE11-4CA3-9958-E4ED9E63479C}">
  <ds:schemaRefs>
    <ds:schemaRef ds:uri="http://schemas.microsoft.com/sharepoint/v3/contenttype/forms"/>
  </ds:schemaRefs>
</ds:datastoreItem>
</file>

<file path=customXml/itemProps7.xml><?xml version="1.0" encoding="utf-8"?>
<ds:datastoreItem xmlns:ds="http://schemas.openxmlformats.org/officeDocument/2006/customXml" ds:itemID="{2649CD72-2500-4A16-81F6-2839403B4C4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7</cp:revision>
  <cp:lastPrinted>2013-03-22T22:57:00Z</cp:lastPrinted>
  <dcterms:created xsi:type="dcterms:W3CDTF">2022-04-25T12:28:00Z</dcterms:created>
  <dcterms:modified xsi:type="dcterms:W3CDTF">2022-04-25T17:13:00Z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Url">
    <vt:lpwstr>https://nokia.sharepoint.com/sites/c5g/5gradio/_layouts/15/DocIdRedir.aspx?ID=5AIRPNAIUNRU-1328258698-8979, 5AIRPNAIUNRU-1328258698-8979</vt:lpwstr>
  </property>
  <property fmtid="{D5CDD505-2E9C-101B-9397-08002B2CF9AE}" pid="4" name="ContentTypeId">
    <vt:lpwstr>0x01010000E5007003D3004E92B8EDD86D20E8CD</vt:lpwstr>
  </property>
  <property fmtid="{D5CDD505-2E9C-101B-9397-08002B2CF9AE}" pid="5" name="_dlc_DocIdItemGuid">
    <vt:lpwstr>599b5fa3-6e28-4800-b3e5-2154fe095bef</vt:lpwstr>
  </property>
</Properties>
</file>